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21954/26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21954/26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ГБУЗ МКНЦ им. А.С. Логинова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"mailto:BogatovaYI@zdrav.mos.ru" </w:instrText>
      </w:r>
      <w:r>
        <w:fldChar w:fldCharType="separate"/>
      </w:r>
      <w:r>
        <w:rPr>
          <w:rStyle w:val="CharStyle7"/>
          <w:lang w:val="en-US" w:eastAsia="en-US"/>
        </w:rPr>
        <w:t>BogatovaYI@zdrav.mos.ru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«Медицина-Плюс»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fldChar w:fldCharType="begin"/>
      </w:r>
      <w:r>
        <w:rPr/>
        <w:instrText> HYPERLINK "mailto:info@medicina-plus.com" </w:instrText>
      </w:r>
      <w:r>
        <w:fldChar w:fldCharType="separate"/>
      </w:r>
      <w:r>
        <w:rPr>
          <w:rStyle w:val="CharStyle7"/>
          <w:lang w:val="en-US" w:eastAsia="en-US"/>
        </w:rPr>
        <w:t>info@medicina-plus.com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077/06/105-6285/2026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18.05.2026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ГБУЗ МКНЦ им. А.С. Логинова ДЗМ: О.И. Бонченко (дов.№177/25 от </w:t>
      </w:r>
      <w:r>
        <w:rPr>
          <w:rStyle w:val="CharStyle7"/>
          <w:lang w:val="en-US" w:eastAsia="en-US"/>
        </w:rPr>
        <w:t>12.12.2025),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«Медицина-Плюс»: Г.К. Кутузовой (дов.№2-26 от </w:t>
      </w:r>
      <w:r>
        <w:rPr>
          <w:rStyle w:val="CharStyle7"/>
          <w:lang w:val="en-US" w:eastAsia="en-US"/>
        </w:rPr>
        <w:t>04.02.2026),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«Медицина-Плюс»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МКНЦ им. А.С. Логинова ДЗМ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на поставку расходных материалов для эндоскопии (Этап </w:t>
      </w:r>
      <w:r>
        <w:rPr>
          <w:rStyle w:val="CharStyle7"/>
          <w:lang w:val="en-US" w:eastAsia="en-US"/>
        </w:rPr>
        <w:t xml:space="preserve">4) </w:t>
      </w:r>
      <w:r>
        <w:rPr>
          <w:rStyle w:val="CharStyle7"/>
        </w:rPr>
        <w:t xml:space="preserve">для нужд ГБУЗ МКНЦ имени А.С. Логинова ДЗМ в </w:t>
      </w:r>
      <w:r>
        <w:rPr>
          <w:rStyle w:val="CharStyle7"/>
          <w:lang w:val="en-US" w:eastAsia="en-US"/>
        </w:rPr>
        <w:t xml:space="preserve">2026-2027 </w:t>
      </w:r>
      <w:r>
        <w:rPr>
          <w:rStyle w:val="CharStyle7"/>
        </w:rPr>
        <w:t xml:space="preserve">гг. (Закупка </w:t>
      </w:r>
      <w:r>
        <w:rPr>
          <w:rStyle w:val="CharStyle7"/>
          <w:lang w:val="en-US" w:eastAsia="en-US"/>
        </w:rPr>
        <w:t xml:space="preserve">№ 0373200022226001056)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 системе в сфере закупок товаров, работ, услуг для обеспечения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584" w:left="1101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both"/>
      </w:pPr>
      <w:r>
        <w:rPr>
          <w:rStyle w:val="CharStyle7"/>
        </w:rPr>
        <w:t xml:space="preserve">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что, установленные в извещения об осуществлению закупки, требования к закупаемому товару «Чехол на аппаратуру, круглой формы, одноразового использования Идентификатор: </w:t>
      </w:r>
      <w:r>
        <w:rPr>
          <w:rStyle w:val="CharStyle7"/>
          <w:lang w:val="en-US" w:eastAsia="en-US"/>
        </w:rPr>
        <w:t xml:space="preserve">213659495» </w:t>
      </w:r>
      <w:r>
        <w:rPr>
          <w:rStyle w:val="CharStyle7"/>
        </w:rPr>
        <w:t>вводят участников закупки в заблуждение, так как, по мнению Заявителя, из описания объекта закупки не следует, какой товар необходим Заказчику к поставке.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определено, что, Заказчиком установлены, в том числе следующие требования к закупаемому товару «Чехол на аппаратуру, круглой формы, одноразового использования Идентификатор: </w:t>
      </w:r>
      <w:r>
        <w:rPr>
          <w:rStyle w:val="CharStyle7"/>
          <w:lang w:val="en-US" w:eastAsia="en-US"/>
        </w:rPr>
        <w:t>213659495»: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«Диаметр в растянутом виде: </w:t>
      </w:r>
      <w:r>
        <w:rPr>
          <w:rStyle w:val="CharStyle7"/>
          <w:lang w:val="en-US" w:eastAsia="en-US"/>
        </w:rPr>
        <w:t xml:space="preserve">≥ 85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>≤ 90»;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640"/>
        <w:jc w:val="both"/>
      </w:pPr>
      <w:r>
        <w:rPr>
          <w:rStyle w:val="CharStyle7"/>
        </w:rPr>
        <w:t>«Тип фиксации: На резинке»;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/>
        <w:ind w:left="0" w:right="0" w:firstLine="640"/>
        <w:jc w:val="both"/>
      </w:pPr>
      <w:r>
        <w:rPr>
          <w:rStyle w:val="CharStyle7"/>
        </w:rPr>
        <w:t xml:space="preserve">«Толщина, мкм: </w:t>
      </w:r>
      <w:r>
        <w:rPr>
          <w:rStyle w:val="CharStyle7"/>
          <w:lang w:val="en-US" w:eastAsia="en-US"/>
        </w:rPr>
        <w:t xml:space="preserve">≥ 45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>≤ 50»;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460"/>
        <w:ind w:left="0" w:right="0" w:firstLine="64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«Требования к материалу: Полиэтилен»;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«Количество в упаковке: </w:t>
      </w:r>
      <w:r>
        <w:rPr>
          <w:rStyle w:val="CharStyle7"/>
          <w:lang w:val="en-US" w:eastAsia="en-US"/>
        </w:rPr>
        <w:t>≥ 3»;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«Конструктивные особенности: Цветовая кодировка»;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«Минимальный остаточный срок годности на дату </w:t>
      </w:r>
      <w:r>
        <w:rPr>
          <w:rStyle w:val="CharStyle7"/>
          <w:lang w:val="en-US" w:eastAsia="en-US"/>
        </w:rPr>
        <w:t>поставки:≥ 12»;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5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«Область применения: Для маркировки, транспортировки и временного хранения инструментов»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«Упаковка: Стерильная».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Заявителя пояснил, что установленные Заказчиком к объекту закупки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«Чехол на аппаратуру, круглой формы, одноразового использования»,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диаметр </w:t>
      </w:r>
      <w:r>
        <w:rPr>
          <w:rStyle w:val="CharStyle7"/>
          <w:lang w:val="en-US" w:eastAsia="en-US"/>
        </w:rPr>
        <w:t xml:space="preserve">85-90 </w:t>
      </w:r>
      <w:r>
        <w:rPr>
          <w:rStyle w:val="CharStyle7"/>
        </w:rPr>
        <w:t>см и фиксация на резинке свидетельствуют о том, что чехол нужен на С-дугу.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С-дуга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это мобильный рентгеновский аппарат с дугообразным штативом, предназначенный для получения рентгеновских изображений в реальном времени (рентгеноскопия) непосредственно во время хирургических операций. Эти устройства позволяют врачам видеть внутренние структуры пациента, не перемещая его, что критически важно в травматологии, ортопедии и кардиологии.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Представитель Заявителя пояснил, что в то же время, Заказчиком в требованиях к объекту закупки установлена область применения: для маркировки, транспортировки и временного хранения инструментов.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Также, чехол требуется стерильный, но количество в упаковке от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шт., однако стерильные медицинские изделия поставляются в индивидуальной упаковке, то есть по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штуке в упаковке. Это необходимо для обеспечения стерильности до момента использования.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указание области применения расходного материала в наименовании закупки не противоречит требования ст.33 Закона о контрактной системе и помогает определить потребности заказчика и обеспечить соответствие поставляемого товара конкретным требованиям. Такое уточнение позволяет участникам закупок понять, для каких целей предназначен материал, и подобрать соответствующее предложение.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Заказчиком указана область применения чехлов, а именно: для маркировки, транспортировки и временного хранения инструментов, а наименование закупки указывает на область применения требуемых материалов. Так же в описании объекта закупки содержится требование в отношении стерильности «Упаковка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стерильная», в т.ч. установлено требование к количеству единиц в данной упаковке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больше или равно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шт. </w:t>
      </w:r>
      <w:r>
        <w:rPr>
          <w:rStyle w:val="CharStyle7"/>
          <w:sz w:val="24"/>
          <w:szCs w:val="24"/>
          <w:lang w:val="en-US" w:eastAsia="en-US"/>
        </w:rPr>
        <w:t>2026-25315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Представитель Заказчика пояснил, что С-дуга это мобильный элемент, который физически соединяет рентгеновский генератор с детектором. Позволяет системе совершать вращательные движения вокруг пациента в любой плоскости, как горизонтальной, так и вертикальной и классифицируется как диагностическое и интраоперационное рентгенографическое оборудование, но не как инструмент, используемый непосредственно в эндоскопии.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Также представитель Заказчика отметил, что описание объекта закупки соответствует как иностранным, так и российским производителям, например: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7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Набор медицинский хирургический одноразовый, стерильный «МЕДКОМПЛЕКТ-2»: чехол защитный на оборудование (комплект: красный, зеленый, прозрачный), производитель ООО «МедКомплект», Российская Федерация, с номером регистрационного удостоверения ФСР </w:t>
      </w:r>
      <w:r>
        <w:rPr>
          <w:rStyle w:val="CharStyle7"/>
          <w:lang w:val="en-US" w:eastAsia="en-US"/>
        </w:rPr>
        <w:t>2009/05398.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7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Чехол на медицинское оборудование на резинке </w:t>
      </w:r>
      <w:r>
        <w:rPr>
          <w:rStyle w:val="CharStyle7"/>
          <w:lang w:val="en-US" w:eastAsia="en-US"/>
        </w:rPr>
        <w:t xml:space="preserve">90*90 </w:t>
      </w:r>
      <w:r>
        <w:rPr>
          <w:rStyle w:val="CharStyle7"/>
        </w:rPr>
        <w:t xml:space="preserve">см (одноразовый стерильный) </w:t>
      </w:r>
      <w:r>
        <w:rPr>
          <w:rStyle w:val="CharStyle7"/>
          <w:lang w:val="en-US" w:eastAsia="en-US"/>
        </w:rPr>
        <w:t xml:space="preserve">№3, </w:t>
      </w:r>
      <w:r>
        <w:rPr>
          <w:rStyle w:val="CharStyle7"/>
        </w:rPr>
        <w:t xml:space="preserve">производитель ООО «Арт-синтез», Российская Федерация, с номером регистрационного удостоверения РЗН </w:t>
      </w:r>
      <w:r>
        <w:rPr>
          <w:rStyle w:val="CharStyle7"/>
          <w:lang w:val="en-US" w:eastAsia="en-US"/>
        </w:rPr>
        <w:t>2016/4090;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7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Тройные стерильные вкладыши для транспортировки гибких эндоскопов, производитель «Медивейторс», США, с номером регистрационного удостоверения ФСЗ </w:t>
      </w:r>
      <w:r>
        <w:rPr>
          <w:rStyle w:val="CharStyle7"/>
          <w:lang w:val="en-US" w:eastAsia="en-US"/>
        </w:rPr>
        <w:t>2012/11807.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Таким образом, по мнению Заказчика описание объекта закупки не препятствует определению потребности Заказчика и подаче заявки.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Доказательств обратного Заявителем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считает необходимым отметить, что при проведении запроса котировок было подано четыре заявки, согласно протоколу подведения итогов от </w:t>
      </w:r>
      <w:r>
        <w:rPr>
          <w:rStyle w:val="CharStyle7"/>
          <w:lang w:val="en-US" w:eastAsia="en-US"/>
        </w:rPr>
        <w:t xml:space="preserve">14.05.2026 </w:t>
      </w:r>
      <w:r>
        <w:rPr>
          <w:rStyle w:val="CharStyle7"/>
        </w:rPr>
        <w:t xml:space="preserve">№ИЗК1 все заявки были признаны соответствующими, в свою очередь, снижение составило </w:t>
      </w:r>
      <w:r>
        <w:rPr>
          <w:rStyle w:val="CharStyle7"/>
          <w:lang w:val="en-US" w:eastAsia="en-US"/>
        </w:rPr>
        <w:t xml:space="preserve">— 57,67%, </w:t>
      </w:r>
      <w:r>
        <w:rPr>
          <w:rStyle w:val="CharStyle7"/>
        </w:rPr>
        <w:t>что также свидетельствует о том, что установленные Заказчиком требования к объекту закупки позволяют однозначным образом определить какой товар необходим к поставке, не вводят участников закупки в заблуждение и не препятствуют корректному формированию заявки, а также не свидетельствуют об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жалобу ООО «Медицина-Плюс» на действия ГБУЗ МКНЦ им. А.С. Логинова ДЗМ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200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174" w:right="533" w:bottom="2600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191770" distL="0" distR="0" simplePos="0" relativeHeight="125829381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342900</wp:posOffset>
                </wp:positionV>
                <wp:extent cx="184404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149999999999999pt;margin-top:27.pt;width:145.20000000000002pt;height:19.699999999999999pt;z-index:-125829372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0690" distB="0" distL="0" distR="1816735" simplePos="0" relativeHeight="125829383" behindDoc="0" locked="0" layoutInCell="1" allowOverlap="1">
            <wp:simplePos x="0" y="0"/>
            <wp:positionH relativeFrom="page">
              <wp:posOffset>3274695</wp:posOffset>
            </wp:positionH>
            <wp:positionV relativeFrom="paragraph">
              <wp:posOffset>440690</wp:posOffset>
            </wp:positionV>
            <wp:extent cx="298450" cy="34734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3664585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8.55000000000001pt;margin-top:39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191770" distL="0" distR="0" simplePos="0" relativeHeight="125829384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342900</wp:posOffset>
                </wp:positionV>
                <wp:extent cx="113665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8.85000000000002pt;margin-top:27.pt;width:89.5pt;height:19.699999999999999pt;z-index:-125829369;mso-wrap-distance-left:0;mso-wrap-distance-top:2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Грешнева Дарья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  <w:color w:val="292929"/>
        </w:rPr>
        <w:t xml:space="preserve">Сертификат № </w:t>
      </w:r>
      <w:r>
        <w:rPr>
          <w:rStyle w:val="CharStyle21"/>
          <w:color w:val="5D5D5D"/>
        </w:rPr>
        <w:t>00831</w:t>
      </w:r>
      <w:r>
        <w:rPr>
          <w:rStyle w:val="CharStyle21"/>
          <w:lang w:val="en-US" w:eastAsia="en-US"/>
        </w:rPr>
        <w:t>B7545C61281C4BAB156778A683BFB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</w:t>
      </w:r>
      <w:r>
        <w:rPr>
          <w:rStyle w:val="CharStyle21"/>
          <w:color w:val="292929"/>
        </w:rPr>
        <w:t xml:space="preserve">17.07.2025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960"/>
        <w:jc w:val="left"/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3274060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3663950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8.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  <w:lang w:val="en-US" w:eastAsia="en-US"/>
        </w:rPr>
        <w:t>00FDA1C988AAB27A9A34756B8D5F1D853</w:t>
      </w:r>
      <w:r>
        <w:rPr>
          <w:rStyle w:val="CharStyle21"/>
          <w:lang w:val="en-US" w:eastAsia="en-US"/>
        </w:rPr>
        <w:t>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1"/>
        </w:rPr>
        <w:t xml:space="preserve">Действителен с 22.07.2025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/>
        <w:jc w:val="lef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3274060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3663950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8.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9"/>
          <w:color w:val="FFFFFF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ГЕЛМУТДИНОВА АНАСТАСИЯ СЕРГЕЕВНА</w:t>
      </w:r>
      <w:r>
        <w:rPr>
          <w:rStyle w:val="CharStyle21"/>
          <w:color w:val="000000"/>
        </w:rPr>
        <w:t xml:space="preserve"> </w:t>
      </w:r>
      <w:r>
        <w:rPr>
          <w:rStyle w:val="CharStyle21"/>
        </w:rPr>
        <w:t xml:space="preserve">Сертификат </w:t>
      </w:r>
      <w:r>
        <w:rPr>
          <w:rStyle w:val="CharStyle21"/>
          <w:color w:val="292929"/>
        </w:rPr>
        <w:t xml:space="preserve">№ </w:t>
      </w:r>
      <w:r>
        <w:rPr>
          <w:rStyle w:val="CharStyle21"/>
        </w:rPr>
        <w:t>723501СС21703599976371</w:t>
      </w:r>
      <w:r>
        <w:rPr>
          <w:rStyle w:val="CharStyle21"/>
          <w:lang w:val="en-US" w:eastAsia="en-US"/>
        </w:rPr>
        <w:t>4F5C652689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300" w:line="266" w:lineRule="auto"/>
        <w:ind w:right="0" w:firstLine="20"/>
        <w:jc w:val="left"/>
      </w:pPr>
      <w:r>
        <w:rPr>
          <w:rStyle w:val="CharStyle21"/>
        </w:rPr>
        <w:t xml:space="preserve">Действителен с 09.02.2026 </w:t>
      </w:r>
      <w:r>
        <w:rPr>
          <w:rStyle w:val="CharStyle21"/>
          <w:color w:val="5D5D5D"/>
        </w:rPr>
        <w:t xml:space="preserve">по </w:t>
      </w:r>
      <w:r>
        <w:rPr>
          <w:rStyle w:val="CharStyle21"/>
        </w:rPr>
        <w:t>05.05.2027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2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2026-25315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804.30000000000007pt;width:56.89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2026-25315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2026-25315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95.30000000000007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2026-25315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10100310</wp:posOffset>
              </wp:positionV>
              <wp:extent cx="72263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2026-25315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149999999999999pt;margin-top:795.30000000000007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2026-25315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69999999999999pt;margin-top:37.25pt;width:5.75pt;height:6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509270</wp:posOffset>
              </wp:positionV>
              <wp:extent cx="57785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25pt;margin-top:40.100000000000001pt;width:4.5499999999999998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3920490</wp:posOffset>
              </wp:positionH>
              <wp:positionV relativeFrom="page">
                <wp:posOffset>473075</wp:posOffset>
              </wp:positionV>
              <wp:extent cx="73025" cy="850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69999999999999pt;margin-top:37.25pt;width:5.75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40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header" Target="header2.xml"/><Relationship Id="rId11" Type="http://schemas.openxmlformats.org/officeDocument/2006/relationships/footer" Target="footer3.xml"/><Relationship Id="rId12" Type="http://schemas.openxmlformats.org/officeDocument/2006/relationships/header" Target="header3.xml"/><Relationship Id="rId13" Type="http://schemas.openxmlformats.org/officeDocument/2006/relationships/footer" Target="footer4.xml"/><Relationship Id="rId14" Type="http://schemas.openxmlformats.org/officeDocument/2006/relationships/image" Target="media/image2.jpeg"/><Relationship Id="rId15" Type="http://schemas.openxmlformats.org/officeDocument/2006/relationships/image" Target="media/image2.jpeg" TargetMode="External"/><Relationship Id="rId16" Type="http://schemas.openxmlformats.org/officeDocument/2006/relationships/image" Target="media/image3.jpeg"/><Relationship Id="rId17" Type="http://schemas.openxmlformats.org/officeDocument/2006/relationships/image" Target="media/image3.jpeg" TargetMode="External"/><Relationship Id="rId18" Type="http://schemas.openxmlformats.org/officeDocument/2006/relationships/image" Target="media/image4.jpeg"/><Relationship Id="rId19" Type="http://schemas.openxmlformats.org/officeDocument/2006/relationships/image" Target="media/image4.jpeg" TargetMode="External"/></Relationships>
</file>