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ГБУЗ «ГКБ № 15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"mailto:GKBI-zakupki.gkb15@zdrav.mos.ru" </w:instrText>
      </w:r>
      <w:r>
        <w:fldChar w:fldCharType="separate"/>
      </w:r>
      <w:r>
        <w:rPr>
          <w:rStyle w:val="CharStyle10"/>
          <w:lang w:val="en-US" w:eastAsia="en-US"/>
        </w:rPr>
        <w:t>GKBI-zakupki.gkb15@zdrav.mos.ru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ООО «Мегамед Корпорэйшн» </w:t>
      </w:r>
      <w:r>
        <w:fldChar w:fldCharType="begin"/>
      </w:r>
      <w:r>
        <w:rPr/>
        <w:instrText> HYPERLINK "mailto:pai@mgmed.ru" </w:instrText>
      </w:r>
      <w:r>
        <w:fldChar w:fldCharType="separate"/>
      </w:r>
      <w:r>
        <w:rPr>
          <w:rStyle w:val="CharStyle10"/>
          <w:lang w:val="en-US" w:eastAsia="en-US"/>
        </w:rPr>
        <w:t>pai@mgmed.ru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09" w:bottom="708" w:left="1135" w:header="0" w:footer="3" w:gutter="0"/>
          <w:pgNumType w:start="1"/>
          <w:cols w:num="2" w:space="1075"/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0" w:bottom="6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077/06/105-6257/2026 о нарушении</w:t>
        <w:br/>
        <w:t>законодательства о контрактной системе</w:t>
        <w:br/>
        <w:t>18.05.2026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Специалиста-эксперта отдела обжалования государственных закупок Е.С. Переверзевой,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рассмотрение жалобы проводилось дистанционно (посредством 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0"/>
        </w:rPr>
        <w:t>ГБУЗ «ГКБ № 15 ДЗМ»: С.А. Денисова (по дов. от 29.12.2026 №94),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ООО «Мегамед Корпорэйшн»: В.А. Кузнецова (по дов. от 15.05.2026 </w:t>
      </w:r>
      <w:r>
        <w:rPr>
          <w:rStyle w:val="CharStyle10"/>
          <w:lang w:val="en-US" w:eastAsia="en-US"/>
        </w:rPr>
        <w:t>№15-05</w:t>
        <w:softHyphen/>
      </w:r>
      <w:r>
        <w:rPr>
          <w:rStyle w:val="CharStyle10"/>
        </w:rPr>
      </w:r>
      <w:r>
        <w:rPr>
          <w:rStyle w:val="CharStyle10"/>
          <w:lang w:val="en-US" w:eastAsia="en-US"/>
        </w:rPr>
        <w:t>2026),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рассмотрев жалобу ООО «Мегамед Корпорэйшн» (далее — Заявитель) на действия ГБУЗ «ГКБ № 15 ДЗМ» (далее — Заказчик) при проведении электронного аукциона на право заключения государственного контракта на поставку расходных материалов для оперблока для нужд ГБУЗ «ГКБ №15 ДЗМ им. О.М. Филатова» (Закупка № 0373200024426000702) (далее — аукцион, электронный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widowControl w:val="0"/>
        <w:spacing w:line="1" w:lineRule="exact"/>
      </w:pPr>
      <w:r>
        <w:drawing>
          <wp:anchor distT="2413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241300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комиссия Заказчика)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Заявитель обжалует действия комиссии Заказчика, выразившиеся в неправомерном отклонении своей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08.05.2026 </w:t>
      </w:r>
      <w:r>
        <w:rPr>
          <w:rStyle w:val="CharStyle10"/>
        </w:rPr>
        <w:t xml:space="preserve">№ИЭА1 заявка Заявителя с идентификационным номером </w:t>
      </w:r>
      <w:r>
        <w:rPr>
          <w:rStyle w:val="CharStyle10"/>
          <w:lang w:val="en-US" w:eastAsia="en-US"/>
        </w:rPr>
        <w:t xml:space="preserve">3181685 </w:t>
      </w:r>
      <w:r>
        <w:rPr>
          <w:rStyle w:val="CharStyle10"/>
        </w:rPr>
        <w:t xml:space="preserve">отклонена на следующем основании: </w:t>
      </w:r>
      <w:r>
        <w:rPr>
          <w:rStyle w:val="CharStyle10"/>
          <w:i/>
          <w:iCs/>
        </w:rPr>
        <w:t xml:space="preserve">«Отклонить заявку на участие в закупке по п.8 ч.12 ст.48 №44-ФЗ «Выявление недостоверной информации, содержащейся в заявке на участие в закупке» Аппарат должен иметь подтвержденную производителем совместимость с кассетами ШЕВРОН серии </w:t>
      </w:r>
      <w:r>
        <w:rPr>
          <w:rStyle w:val="CharStyle10"/>
          <w:i/>
          <w:iCs/>
          <w:lang w:val="en-US" w:eastAsia="en-US"/>
        </w:rPr>
        <w:t xml:space="preserve">SHZRB, </w:t>
      </w:r>
      <w:r>
        <w:rPr>
          <w:rStyle w:val="CharStyle10"/>
          <w:i/>
          <w:iCs/>
        </w:rPr>
        <w:t>имеющимися у заказчика. Однако согласно инструкции, размещенной на официальном сайте Росздравнадзора и информационному письму эксклюзивного дистрибьютора производителя на территории Российской Федерации предложенный участником товар не является совместимым».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п.1, п.3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7" w:right="537" w:bottom="615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</w:t>
      </w:r>
      <w:r>
        <w:rPr>
          <w:rStyle w:val="CharStyle10"/>
          <w:sz w:val="24"/>
          <w:szCs w:val="24"/>
          <w:lang w:val="en-US" w:eastAsia="en-US"/>
        </w:rPr>
        <w:t>2026-24317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08.02.2017 №145 </w:t>
      </w:r>
      <w:r>
        <w:rPr>
          <w:rStyle w:val="CharStyle10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приглашение);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документации о закупке (в случае если Федеральным законом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предусмотрена документация о закупке);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контракте;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реестре контрактов, заключенных заказчиками.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«г» и «е»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наименование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описание товара, работы, услуги (при наличии такого описания в позиции).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6 Правил использования КТРУ установлено, что в случае предоставления дополнительной информации, предусмотренной п.5 Правил использования КТРУ,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0"/>
          <w:lang w:val="en-US" w:eastAsia="en-US"/>
        </w:rPr>
        <w:t>034-2014.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Комиссией Управления определено, что согласно описанию объекта закупки Заказчику требуется к поставке товары «Степлер линейный ручной для открытых операций, одноразового использования» позиции КТРУ </w:t>
      </w:r>
      <w:r>
        <w:rPr>
          <w:rStyle w:val="CharStyle10"/>
          <w:lang w:val="en-US" w:eastAsia="en-US"/>
        </w:rPr>
        <w:t xml:space="preserve">32.50.13.190-00007435 </w:t>
      </w:r>
      <w:r>
        <w:rPr>
          <w:rStyle w:val="CharStyle10"/>
        </w:rPr>
        <w:t>со следующими характеристиками, например, по п.1: «</w:t>
      </w:r>
      <w:r>
        <w:rPr>
          <w:rStyle w:val="CharStyle10"/>
          <w:i/>
          <w:iCs/>
        </w:rPr>
        <w:t xml:space="preserve">Область применения: Для наложения хирургических скоб с целью соединения мягких тканей или для фиксации хирургической сетки к ткани; Материал скобы: Титан; Высота открытой скобы: </w:t>
      </w:r>
      <w:r>
        <w:rPr>
          <w:rStyle w:val="CharStyle10"/>
          <w:i/>
          <w:iCs/>
          <w:lang w:val="en-US" w:eastAsia="en-US"/>
        </w:rPr>
        <w:t xml:space="preserve">≥ 3.8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≤ 3.9 </w:t>
      </w:r>
      <w:r>
        <w:rPr>
          <w:rStyle w:val="CharStyle10"/>
          <w:i/>
          <w:iCs/>
        </w:rPr>
        <w:t xml:space="preserve">Миллимет; Длина шва: </w:t>
      </w:r>
      <w:r>
        <w:rPr>
          <w:rStyle w:val="CharStyle10"/>
          <w:i/>
          <w:iCs/>
          <w:lang w:val="en-US" w:eastAsia="en-US"/>
        </w:rPr>
        <w:t xml:space="preserve">≥ 42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≤ 50 </w:t>
      </w:r>
      <w:r>
        <w:rPr>
          <w:rStyle w:val="CharStyle10"/>
          <w:i/>
          <w:iCs/>
        </w:rPr>
        <w:t xml:space="preserve">Миллиметр; Количество рядов скоб: </w:t>
      </w:r>
      <w:r>
        <w:rPr>
          <w:rStyle w:val="CharStyle10"/>
          <w:i/>
          <w:iCs/>
          <w:lang w:val="en-US" w:eastAsia="en-US"/>
        </w:rPr>
        <w:t xml:space="preserve">2; </w:t>
      </w:r>
      <w:r>
        <w:rPr>
          <w:rStyle w:val="CharStyle10"/>
          <w:i/>
          <w:iCs/>
        </w:rPr>
        <w:t xml:space="preserve">Количество скоб: </w:t>
      </w:r>
      <w:r>
        <w:rPr>
          <w:rStyle w:val="CharStyle10"/>
          <w:i/>
          <w:iCs/>
          <w:lang w:val="en-US" w:eastAsia="en-US"/>
        </w:rPr>
        <w:t xml:space="preserve">≥ 15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≤ 16 </w:t>
      </w:r>
      <w:r>
        <w:rPr>
          <w:rStyle w:val="CharStyle10"/>
          <w:i/>
          <w:iCs/>
        </w:rPr>
        <w:t>Штука; Конструктивные особенности: Единый рычаг для сведения и прошивания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свою очередь, в разделе «Характеристики товара, работы, услуги (Степлер линейный ручной для открытых операций, одноразового использования)» описания объекта закупки отражена в частности следующая информация: «</w:t>
      </w:r>
      <w:r>
        <w:rPr>
          <w:rStyle w:val="CharStyle10"/>
          <w:i/>
          <w:iCs/>
        </w:rPr>
        <w:t xml:space="preserve">Аппарат имеет подтвержденную производителем совместимость с кассетами ШЕВРОН серии </w:t>
      </w:r>
      <w:r>
        <w:rPr>
          <w:rStyle w:val="CharStyle10"/>
          <w:i/>
          <w:iCs/>
          <w:lang w:val="en-US" w:eastAsia="en-US"/>
        </w:rPr>
        <w:t xml:space="preserve">SHZRB, </w:t>
      </w:r>
      <w:r>
        <w:rPr>
          <w:rStyle w:val="CharStyle10"/>
          <w:i/>
          <w:iCs/>
        </w:rPr>
        <w:t xml:space="preserve">имеющимися у заказчика. В связи с отсутствием в позиции КТРУ описания товара, работ, услуг Заказчиком в силу пункта </w:t>
      </w:r>
      <w:r>
        <w:rPr>
          <w:rStyle w:val="CharStyle10"/>
          <w:i/>
          <w:iCs/>
          <w:lang w:val="en-US" w:eastAsia="en-US"/>
        </w:rPr>
        <w:t xml:space="preserve">5 </w:t>
      </w:r>
      <w:r>
        <w:rPr>
          <w:rStyle w:val="CharStyle10"/>
          <w:i/>
          <w:iCs/>
        </w:rPr>
        <w:t xml:space="preserve">Правил использования КТРУ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0"/>
          <w:i/>
          <w:iCs/>
          <w:lang w:val="en-US" w:eastAsia="en-US"/>
        </w:rPr>
        <w:t xml:space="preserve">33 </w:t>
      </w:r>
      <w:r>
        <w:rPr>
          <w:rStyle w:val="CharStyle10"/>
          <w:i/>
          <w:iCs/>
        </w:rPr>
        <w:t xml:space="preserve">Федерального закона от </w:t>
      </w:r>
      <w:r>
        <w:rPr>
          <w:rStyle w:val="CharStyle10"/>
          <w:i/>
          <w:iCs/>
          <w:lang w:val="en-US" w:eastAsia="en-US"/>
        </w:rPr>
        <w:t xml:space="preserve">05.04.2013 № 44 </w:t>
      </w:r>
      <w:r>
        <w:rPr>
          <w:rStyle w:val="CharStyle10"/>
          <w:i/>
          <w:iCs/>
        </w:rPr>
        <w:t>«О контрактной системе в сфере закупок товаров, работ, услуг для обеспечения государственных и муниципальных нужд», которые не предусмотрены в позиции каталога. Данный набор характеристик позволяет удовлетворить потребности Заказчика с учетом специфики деятельности и обеспечивает эффективное использование бюджетных средств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Наряду с этим Комиссией Управления определено, что в пп.4,6 п.12 Информационной карты извещения установлены в том числе следующие требования к содержанию, составу заявки: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>«</w:t>
      </w:r>
      <w:r>
        <w:rPr>
          <w:rStyle w:val="CharStyle10"/>
          <w:i/>
          <w:iCs/>
          <w:lang w:val="en-US" w:eastAsia="en-US"/>
        </w:rPr>
        <w:t xml:space="preserve">4. </w:t>
      </w:r>
      <w:r>
        <w:rPr>
          <w:rStyle w:val="CharStyle10"/>
          <w:i/>
          <w:iCs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0"/>
          <w:i/>
          <w:iCs/>
          <w:lang w:val="en-US" w:eastAsia="en-US"/>
        </w:rPr>
        <w:t xml:space="preserve">2 </w:t>
      </w:r>
      <w:r>
        <w:rPr>
          <w:rStyle w:val="CharStyle10"/>
          <w:i/>
          <w:iCs/>
        </w:rPr>
        <w:t xml:space="preserve">статьи </w:t>
      </w:r>
      <w:r>
        <w:rPr>
          <w:rStyle w:val="CharStyle10"/>
          <w:i/>
          <w:iCs/>
          <w:lang w:val="en-US" w:eastAsia="en-US"/>
        </w:rPr>
        <w:t xml:space="preserve">33 </w:t>
      </w:r>
      <w:r>
        <w:rPr>
          <w:rStyle w:val="CharStyle10"/>
          <w:i/>
          <w:iCs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  <w:lang w:val="en-US" w:eastAsia="en-US"/>
        </w:rPr>
        <w:t xml:space="preserve">6. </w:t>
      </w:r>
      <w:r>
        <w:rPr>
          <w:rStyle w:val="CharStyle10"/>
          <w:i/>
          <w:iCs/>
        </w:rPr>
        <w:t>Документы или сведения,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 Копии свидетельства о государственной регистрации медицинских изделий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«п» п.1, пп.«а»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«в» п.2, п.5 ч.1 ст.43 Закона о контрактной системе. Заявка также может содержать информацию и документы, предусмотренные пп. «д» п.2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 учетом положений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системе, товарный знак (при наличии у товара товарного знака);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 учетом положений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 xml:space="preserve">Закона о контрактной системе предложение по критериям, предусмотренным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(или)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Заявитель в составе заявки конклюдентно согласился поставить степлеры на условиях извещения об осуществлении закупки, при этом в составе заявки отражены следующие сведения о предложенных к поставке изделиях, например, по п.1 предложен товар с наименованием медицинского изделия в соответствии с регистрационным удостоверением №РЗН </w:t>
      </w:r>
      <w:r>
        <w:rPr>
          <w:rStyle w:val="CharStyle10"/>
          <w:lang w:val="en-US" w:eastAsia="en-US"/>
        </w:rPr>
        <w:t xml:space="preserve">2020/9849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02.04.2026 </w:t>
      </w:r>
      <w:r>
        <w:rPr>
          <w:rStyle w:val="CharStyle10"/>
        </w:rPr>
        <w:t xml:space="preserve">«Степлер линейный ручной без режущей функции в вариантах исполнения: </w:t>
      </w:r>
      <w:r>
        <w:rPr>
          <w:rStyle w:val="CharStyle10"/>
          <w:lang w:val="en-US" w:eastAsia="en-US"/>
        </w:rPr>
        <w:t xml:space="preserve">2. </w:t>
      </w:r>
      <w:r>
        <w:rPr>
          <w:rStyle w:val="CharStyle10"/>
        </w:rPr>
        <w:t xml:space="preserve">Степлер линейный </w:t>
      </w:r>
      <w:r>
        <w:rPr>
          <w:rStyle w:val="CharStyle10"/>
          <w:lang w:val="en-US" w:eastAsia="en-US"/>
        </w:rPr>
        <w:t xml:space="preserve">CKH, </w:t>
      </w:r>
      <w:r>
        <w:rPr>
          <w:rStyle w:val="CharStyle10"/>
        </w:rPr>
        <w:t xml:space="preserve">в составе: </w:t>
      </w:r>
      <w:r>
        <w:rPr>
          <w:rStyle w:val="CharStyle10"/>
          <w:lang w:val="en-US" w:eastAsia="en-US"/>
        </w:rPr>
        <w:t xml:space="preserve">2.1. </w:t>
      </w:r>
      <w:r>
        <w:rPr>
          <w:rStyle w:val="CharStyle10"/>
        </w:rPr>
        <w:t xml:space="preserve">Степлер линейный </w:t>
      </w:r>
      <w:r>
        <w:rPr>
          <w:rStyle w:val="CharStyle10"/>
          <w:lang w:val="en-US" w:eastAsia="en-US"/>
        </w:rPr>
        <w:t xml:space="preserve">CKH, </w:t>
      </w:r>
      <w:r>
        <w:rPr>
          <w:rStyle w:val="CharStyle10"/>
        </w:rPr>
        <w:t xml:space="preserve">в вариантах исполнения: </w:t>
      </w:r>
      <w:r>
        <w:rPr>
          <w:rStyle w:val="CharStyle10"/>
          <w:lang w:val="en-US" w:eastAsia="en-US"/>
        </w:rPr>
        <w:t xml:space="preserve">CKH453» </w:t>
      </w:r>
      <w:r>
        <w:rPr>
          <w:rStyle w:val="CharStyle10"/>
        </w:rPr>
        <w:t>со следующими характеристиками: «</w:t>
      </w:r>
      <w:r>
        <w:rPr>
          <w:rStyle w:val="CharStyle10"/>
          <w:i/>
          <w:iCs/>
        </w:rPr>
        <w:t xml:space="preserve">Область применения: Для наложения хирургических скоб с целью соединения мягких тканей или для фиксации хирургической сетки к ткани; Материал скобы: Титан; Высота открытой скобы: </w:t>
      </w:r>
      <w:r>
        <w:rPr>
          <w:rStyle w:val="CharStyle10"/>
          <w:i/>
          <w:iCs/>
          <w:lang w:val="en-US" w:eastAsia="en-US"/>
        </w:rPr>
        <w:t xml:space="preserve">3.8 </w:t>
      </w:r>
      <w:r>
        <w:rPr>
          <w:rStyle w:val="CharStyle10"/>
          <w:i/>
          <w:iCs/>
        </w:rPr>
        <w:t xml:space="preserve">Миллимет; Длина шва: </w:t>
      </w:r>
      <w:r>
        <w:rPr>
          <w:rStyle w:val="CharStyle10"/>
          <w:i/>
          <w:iCs/>
          <w:lang w:val="en-US" w:eastAsia="en-US"/>
        </w:rPr>
        <w:t xml:space="preserve">42.5 </w:t>
      </w:r>
      <w:r>
        <w:rPr>
          <w:rStyle w:val="CharStyle10"/>
          <w:i/>
          <w:iCs/>
        </w:rPr>
        <w:t xml:space="preserve">Миллиметр; Количество рядов скоб: </w:t>
      </w:r>
      <w:r>
        <w:rPr>
          <w:rStyle w:val="CharStyle10"/>
          <w:i/>
          <w:iCs/>
          <w:lang w:val="en-US" w:eastAsia="en-US"/>
        </w:rPr>
        <w:t xml:space="preserve">2; </w:t>
      </w:r>
      <w:r>
        <w:rPr>
          <w:rStyle w:val="CharStyle10"/>
          <w:i/>
          <w:iCs/>
        </w:rPr>
        <w:t xml:space="preserve">Количество скоб: </w:t>
      </w:r>
      <w:r>
        <w:rPr>
          <w:rStyle w:val="CharStyle10"/>
          <w:i/>
          <w:iCs/>
          <w:lang w:val="en-US" w:eastAsia="en-US"/>
        </w:rPr>
        <w:t xml:space="preserve">15 </w:t>
      </w:r>
      <w:r>
        <w:rPr>
          <w:rStyle w:val="CharStyle10"/>
          <w:i/>
          <w:iCs/>
        </w:rPr>
        <w:t>Штука; Конструктивные особенности: Единый рычаг для сведения и прошивания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заседании Комиссии Управления представитель Заявителя пояснил, что комиссией Заказчика нарушены нормы Закона о контрактной системе в результате отклонения заявки Заявителя, поскольку комиссией Заказчика не учтено, что в структурированном описании объекта закупки отсутствует требование о совместимости с кассетами ШЕВРОН серии </w:t>
      </w:r>
      <w:r>
        <w:rPr>
          <w:rStyle w:val="CharStyle10"/>
          <w:lang w:val="en-US" w:eastAsia="en-US"/>
        </w:rPr>
        <w:t>SHZRB.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Поскольку участник не заявлял сведений о наличии совместимости, оснований для выявления недостоверной информации у комиссии по осуществлению закупок не имелось, вследствие чего отклонение заявки по основанию, отраженному в протоколе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08.05.2026 </w:t>
      </w:r>
      <w:r>
        <w:rPr>
          <w:rStyle w:val="CharStyle10"/>
        </w:rPr>
        <w:t>№ИЭА1, является неправомерным.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заседании Комиссии Управления представитель Заказчика пояснил, что в извещении размещена информация о необходимости совместимости закупаемых степлеров с кассетами ШЕВРОН серии </w:t>
      </w:r>
      <w:r>
        <w:rPr>
          <w:rStyle w:val="CharStyle10"/>
          <w:lang w:val="en-US" w:eastAsia="en-US"/>
        </w:rPr>
        <w:t xml:space="preserve">SHZRB, </w:t>
      </w:r>
      <w:r>
        <w:rPr>
          <w:rStyle w:val="CharStyle10"/>
        </w:rPr>
        <w:t xml:space="preserve">имеющимися у Заказчика. Данное требование обусловлено тем, что ранее Заказчиком проведена закупка с реестровым номером </w:t>
      </w:r>
      <w:r>
        <w:rPr>
          <w:rStyle w:val="CharStyle10"/>
          <w:lang w:val="en-US" w:eastAsia="en-US"/>
        </w:rPr>
        <w:t xml:space="preserve">№0373200024426000582 </w:t>
      </w:r>
      <w:r>
        <w:rPr>
          <w:rStyle w:val="CharStyle10"/>
        </w:rPr>
        <w:t xml:space="preserve">на поставку расходных материалов торгового наименования «Шеврон», по результатам которой заключен государственный контракт </w:t>
      </w:r>
      <w:r>
        <w:rPr>
          <w:rStyle w:val="CharStyle10"/>
          <w:lang w:val="en-US" w:eastAsia="en-US"/>
        </w:rPr>
        <w:t xml:space="preserve">№2772000185026000592 </w:t>
      </w:r>
      <w:r>
        <w:rPr>
          <w:rStyle w:val="CharStyle10"/>
        </w:rPr>
        <w:t xml:space="preserve">на поставку медицинских изделий регистрационного удостоверения №РЗН </w:t>
      </w:r>
      <w:r>
        <w:rPr>
          <w:rStyle w:val="CharStyle10"/>
          <w:lang w:val="en-US" w:eastAsia="en-US"/>
        </w:rPr>
        <w:t xml:space="preserve">2020/9749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10.03.2020. </w:t>
      </w:r>
      <w:r>
        <w:rPr>
          <w:rStyle w:val="CharStyle10"/>
        </w:rPr>
        <w:t xml:space="preserve">В соответствии с указанным контрактом на поставленный товар распространяется гарантийные обязательства, в связи с чем в оспариваемом извещении установлено требование о совместимости с кассетами ШЕВРОН серии </w:t>
      </w:r>
      <w:r>
        <w:rPr>
          <w:rStyle w:val="CharStyle10"/>
          <w:lang w:val="en-US" w:eastAsia="en-US"/>
        </w:rPr>
        <w:t>SHZRB.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тем при рассмотрении заявки Заявителя комиссией Заказчика определено, что в составе заявки отсутствуют какие-либо сведения, подтверждающие наличие совместимости с кассетами ШЕВРОН серии </w:t>
      </w:r>
      <w:r>
        <w:rPr>
          <w:rStyle w:val="CharStyle10"/>
          <w:lang w:val="en-US" w:eastAsia="en-US"/>
        </w:rPr>
        <w:t xml:space="preserve">SHZRB, </w:t>
      </w:r>
      <w:r>
        <w:rPr>
          <w:rStyle w:val="CharStyle10"/>
        </w:rPr>
        <w:t>в связи с чем, по мнению представителя Заказчика, у комиссии по осуществлению закупок отсутствовали правовые основания для признания заявки Заявителя соответствующей условиям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представитель Заказчика также уточнил, что в действительности в требованиях описания объекта закупки не установлено требование к характеристики о наличии совместимости с кассетами ШЕВРОН серии </w:t>
      </w:r>
      <w:r>
        <w:rPr>
          <w:rStyle w:val="CharStyle10"/>
          <w:lang w:val="en-US" w:eastAsia="en-US"/>
        </w:rPr>
        <w:t xml:space="preserve">SHZRB, </w:t>
      </w:r>
      <w:r>
        <w:rPr>
          <w:rStyle w:val="CharStyle10"/>
        </w:rPr>
        <w:t>данная информация отражена в разделе «Характеристики товара, работы, услуги (Степлер линейный ручной для открытых операций, одноразового использования)» описания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Комиссия Управления считает необходимым отметить, что требования к характеристикам предъявляются с использованием ЕИС при формировании извещения об осуществлении закупки в составе графы «Характеристики товара, работы, услуги». Раздел «Обоснование включения дополнительной информации в сведения о товаре, работе, услуге» по своей сути относится непосредственно к самому обоснованию использования характеристик не предусмотренных КТРУ по исполнение п.6 Правил пользования КТРУ.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 xml:space="preserve">При принятии решения Комиссия Управления исходит из того, что «аппарат имеет подтвержденную производителем совместимость с кассетами ШЕВРОН серии </w:t>
      </w:r>
      <w:r>
        <w:rPr>
          <w:rStyle w:val="CharStyle10"/>
          <w:lang w:val="en-US" w:eastAsia="en-US"/>
        </w:rPr>
        <w:t xml:space="preserve">SHZRB, </w:t>
      </w:r>
      <w:r>
        <w:rPr>
          <w:rStyle w:val="CharStyle10"/>
        </w:rPr>
        <w:t>имеющимися у заказчика» является обоснованием установленных характеристик в графе «Характеристики товара, работы, услуги».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В связи с чем комиссия Заказчика не имеет правовых оснований для отклонения участника закупки в связи с несоответствием информации и документов, представленных в составе заявки, обоснованию включения дополнительных характеристик, поскольку как таковым требованием к товару не является.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Иными словами, в силу вышеуказанных обстоятельств, характеристики степлера, предложенного участником закупки, соответствуют параметрам, установленным Заказчиком в описании объекта закупки, отражённом в извещении, заявка участника закупки не подлежала отклонению.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10"/>
          <w:lang w:val="en-US" w:eastAsia="en-US"/>
        </w:rPr>
        <w:t xml:space="preserve">1 - 8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1.1, 2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(при наличии таких требований) 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предусмотренных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4, </w:t>
      </w:r>
      <w:r>
        <w:rPr>
          <w:rStyle w:val="CharStyle10"/>
        </w:rPr>
        <w:t xml:space="preserve">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выявления отнесения участника закупки к организациям, предусмотренным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июня </w:t>
      </w:r>
      <w:r>
        <w:rPr>
          <w:rStyle w:val="CharStyle10"/>
          <w:lang w:val="en-US" w:eastAsia="en-US"/>
        </w:rPr>
        <w:t xml:space="preserve">2018 </w:t>
      </w:r>
      <w:r>
        <w:rPr>
          <w:rStyle w:val="CharStyle10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предусмотренных ч.6 ст. </w:t>
      </w:r>
      <w:r>
        <w:rPr>
          <w:rStyle w:val="CharStyle10"/>
          <w:lang w:val="en-US" w:eastAsia="en-US"/>
        </w:rPr>
        <w:t xml:space="preserve">45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 о том, что решение комиссии Заказчика о признании заявки Заявителя несоответствующей по основанию, отраженному в протоколе подведения итогов определения поставщика (подрядчика, исполнителя) является неправомерным и принято в нарушение пп «а» п.1 ч.5 ст.49 Закона о контрактной системе, что содержит признаки состава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Между тем в ходе проведенной внеплановой проверки на действия Заказчика Комиссией Управления определено нижеследующее.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Как изложено ранее, согласно описанию объекта закупки Заказчику требуется к поставке товары «Степлер линейный ручной для открытых операций, одноразового использования» позиции КТРУ </w:t>
      </w:r>
      <w:r>
        <w:rPr>
          <w:rStyle w:val="CharStyle10"/>
          <w:lang w:val="en-US" w:eastAsia="en-US"/>
        </w:rPr>
        <w:t xml:space="preserve">32.50.13.190-00007435 </w:t>
      </w:r>
      <w:r>
        <w:rPr>
          <w:rStyle w:val="CharStyle10"/>
        </w:rPr>
        <w:t>со следующими характеристиками, например, по п.1: «</w:t>
      </w:r>
      <w:r>
        <w:rPr>
          <w:rStyle w:val="CharStyle10"/>
          <w:i/>
          <w:iCs/>
        </w:rPr>
        <w:t xml:space="preserve">Область применения: Для наложения хирургических скоб с целью соединения мягких тканей или для фиксации хирургической сетки к ткани; Материал скобы: Титан; Высота открытой скобы: </w:t>
      </w:r>
      <w:r>
        <w:rPr>
          <w:rStyle w:val="CharStyle10"/>
          <w:i/>
          <w:iCs/>
          <w:lang w:val="en-US" w:eastAsia="en-US"/>
        </w:rPr>
        <w:t xml:space="preserve">≥ 3.8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≤ 3.9 </w:t>
      </w:r>
      <w:r>
        <w:rPr>
          <w:rStyle w:val="CharStyle10"/>
          <w:i/>
          <w:iCs/>
        </w:rPr>
        <w:t xml:space="preserve">Миллимет; Длина шва: </w:t>
      </w:r>
      <w:r>
        <w:rPr>
          <w:rStyle w:val="CharStyle10"/>
          <w:i/>
          <w:iCs/>
          <w:lang w:val="en-US" w:eastAsia="en-US"/>
        </w:rPr>
        <w:t xml:space="preserve">≥ 42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≤ 50 </w:t>
      </w:r>
      <w:r>
        <w:rPr>
          <w:rStyle w:val="CharStyle10"/>
          <w:i/>
          <w:iCs/>
        </w:rPr>
        <w:t xml:space="preserve">Миллиметр; Количество рядов скоб: </w:t>
      </w:r>
      <w:r>
        <w:rPr>
          <w:rStyle w:val="CharStyle10"/>
          <w:i/>
          <w:iCs/>
          <w:lang w:val="en-US" w:eastAsia="en-US"/>
        </w:rPr>
        <w:t xml:space="preserve">2; </w:t>
      </w:r>
      <w:r>
        <w:rPr>
          <w:rStyle w:val="CharStyle10"/>
          <w:i/>
          <w:iCs/>
        </w:rPr>
        <w:t xml:space="preserve">Количество скоб: </w:t>
      </w:r>
      <w:r>
        <w:rPr>
          <w:rStyle w:val="CharStyle10"/>
          <w:i/>
          <w:iCs/>
          <w:lang w:val="en-US" w:eastAsia="en-US"/>
        </w:rPr>
        <w:t xml:space="preserve">≥ 15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≤ 16 </w:t>
      </w:r>
      <w:r>
        <w:rPr>
          <w:rStyle w:val="CharStyle10"/>
          <w:i/>
          <w:iCs/>
        </w:rPr>
        <w:t>Штука; Конструктивные особенности: Единый рычаг для сведения и прошивания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свою очередь, в разделе «Характеристики товара, работы, услуги (Степлер линейный ручной для открытых операций, одноразового использования)» описания объекта закупки отражена в частности следующая информация: «</w:t>
      </w:r>
      <w:r>
        <w:rPr>
          <w:rStyle w:val="CharStyle10"/>
          <w:i/>
          <w:iCs/>
        </w:rPr>
        <w:t xml:space="preserve">Аппарат имеет подтвержденную производителем совместимость с кассетами ШЕВРОН серии </w:t>
      </w:r>
      <w:r>
        <w:rPr>
          <w:rStyle w:val="CharStyle10"/>
          <w:i/>
          <w:iCs/>
          <w:lang w:val="en-US" w:eastAsia="en-US"/>
        </w:rPr>
        <w:t xml:space="preserve">SHZRB, </w:t>
      </w:r>
      <w:r>
        <w:rPr>
          <w:rStyle w:val="CharStyle10"/>
          <w:i/>
          <w:iCs/>
        </w:rPr>
        <w:t xml:space="preserve">имеющимися у заказчика. В связи с отсутствием в позиции КТРУ описания товара, работ, услуг Заказчиком в силу пункта </w:t>
      </w:r>
      <w:r>
        <w:rPr>
          <w:rStyle w:val="CharStyle10"/>
          <w:i/>
          <w:iCs/>
          <w:lang w:val="en-US" w:eastAsia="en-US"/>
        </w:rPr>
        <w:t xml:space="preserve">5 </w:t>
      </w:r>
      <w:r>
        <w:rPr>
          <w:rStyle w:val="CharStyle10"/>
          <w:i/>
          <w:iCs/>
        </w:rPr>
        <w:t xml:space="preserve">Правил использования КТРУ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0"/>
          <w:i/>
          <w:iCs/>
          <w:lang w:val="en-US" w:eastAsia="en-US"/>
        </w:rPr>
        <w:t xml:space="preserve">33 </w:t>
      </w:r>
      <w:r>
        <w:rPr>
          <w:rStyle w:val="CharStyle10"/>
          <w:i/>
          <w:iCs/>
        </w:rPr>
        <w:t xml:space="preserve">Федерального закона от </w:t>
      </w:r>
      <w:r>
        <w:rPr>
          <w:rStyle w:val="CharStyle10"/>
          <w:i/>
          <w:iCs/>
          <w:lang w:val="en-US" w:eastAsia="en-US"/>
        </w:rPr>
        <w:t xml:space="preserve">05.04.2013 № 44 </w:t>
      </w:r>
      <w:r>
        <w:rPr>
          <w:rStyle w:val="CharStyle10"/>
          <w:i/>
          <w:iCs/>
        </w:rPr>
        <w:t>«О контрактной системе в сфере закупок товаров, работ, услуг для обеспечения государственных и муниципальных нужд», которые не предусмотрены в позиции каталога. Данный набор характеристик позволяет удовлетворить потребности Заказчика с учетом специфики деятельности и обеспечивает эффективное использование бюджетных средств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Комиссия Управления полагает, что Заказчиком не учтено, что поскольку в пп.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п.12 Информационной карты извещения напрямую отражено требование к содержанию, составу заявки на участие в аукционе о представлении характеристик предлагаемого участником закупки товара, соответствующих установленным показателям описания объектов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С </w:t>
      </w:r>
      <w:r>
        <w:rPr>
          <w:rStyle w:val="CharStyle10"/>
          <w:lang w:val="en-US" w:eastAsia="en-US"/>
        </w:rPr>
        <w:t xml:space="preserve">01.10.2023 </w:t>
      </w:r>
      <w:r>
        <w:rPr>
          <w:rStyle w:val="CharStyle10"/>
        </w:rPr>
        <w:t xml:space="preserve">Заказчики формируют структурированное описание объекта закупки в ЕИС (подп. «б» п.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постановления Правительства от </w:t>
      </w:r>
      <w:r>
        <w:rPr>
          <w:rStyle w:val="CharStyle10"/>
          <w:lang w:val="en-US" w:eastAsia="en-US"/>
        </w:rPr>
        <w:t xml:space="preserve">31.10.2022 № 1946). </w:t>
      </w:r>
      <w:r>
        <w:rPr>
          <w:rStyle w:val="CharStyle10"/>
        </w:rPr>
        <w:t xml:space="preserve">При проведении открытых и закрытых электронных процедур характеристики объекта закупки, которые предусмотрены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системы, указываются с использованием ЕИС (п.7 Правил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Формирование информации и документов с использованием ЕИС осуществляется путем заполнения экранных форм веб-интерфейса ЕИС. При формировании извещения в ЕИС Заказчику требовалось указать характеристики к закупаемого устройства со значениями этих характеристик.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Комиссия Управления обращает внимание на то, что, по своей сути раздел «Обоснование дополнительных характеристик» не подразумевает указание в нем требований к характеристикам закупаемого товара, так как, исходя из наименования, такой раздел содержит в своем составе исключительно обоснование использования дополнительных значений параметров, используемых Заказчиком при описании объекта закупки, в то время как требования к характеристикам закупаемого изделия определены в разделе «Характеристики». При этом устанавливая требования подобным образом участнику закупки не представляется возможным корректно представить значения требуемых характеристик посредством заполнения структурированной формы.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Исходя из вышеизложенного, Комиссия Управления приходит к выводу, что положения извещения сформированы Заказчиком таким образом, что не позволяют участникам закупки представить сведения о поставляемом изделии надлежащим образом, посредством заполнения сведений, указанных в структурированной формы извещения, размещенной в соответствии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Ввиду чего Комиссия Управления приходит к выводу, что Заказчиком не исполнено надлежащим образом требование об указании требований к товарам с использованием ЕИС при формировании извещения об осуществлении закупочной процедуры, характеристики отсутствуют в разделе «Характеристики товара, работы, услуги» и не устанавливает правила чтения требуемых значений характеристик, изложенных в графе «Обоснование дополнительных характеристик» извещения об осуществлении закупки</w:t>
      </w:r>
      <w:r>
        <w:rPr>
          <w:rStyle w:val="CharStyle10"/>
          <w:lang w:val="en-US" w:eastAsia="en-US"/>
        </w:rPr>
        <w:t>..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Таким образом, Заказчиком предъявлены требования к участникам закупки о предоставлении в составе заявки значений характеристик, которые не отражены в структурированной форме извещения, а также правила чтения которых не предусмотрены извещением об осуществлении закупки, что вводит в заблуждение участников закупки и повлекло за собой отклонение заявки Заявителя 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08.05.2026 </w:t>
      </w:r>
      <w:r>
        <w:rPr>
          <w:rStyle w:val="CharStyle10"/>
        </w:rPr>
        <w:t>№ИЭА1.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На основании всего вышеизложенного, Комиссия Управления приходит к выводу о нарушении Заказчиком положений ч.6 ст.23, п.1 ч.1 ст.33, п.5 ч.1 ст.42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.Признать жалобу ООО «Мегамед Корпорэйшн» на действия комиссии ГБУЗ «ГКБ </w:t>
      </w:r>
      <w:r>
        <w:rPr>
          <w:rStyle w:val="CharStyle10"/>
          <w:lang w:val="en-US" w:eastAsia="en-US"/>
        </w:rPr>
        <w:t xml:space="preserve">№ 15 </w:t>
      </w:r>
      <w:r>
        <w:rPr>
          <w:rStyle w:val="CharStyle10"/>
        </w:rPr>
        <w:t>ДЗМ»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.Признать в действиях комиссия Заказчика нарушение пп. «а» п.1 ч.5 ст.49 Закона о контрактной системе, а также в действиях Заказчика нарушение ч.6 ст.23, п.1 ч.1 ст.33, п.5 ч.1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Выдать Заказчику, комиссии Заказчика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0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3" w:bottom="1282" w:left="108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1630" distL="0" distR="0" simplePos="0" relativeHeight="125829379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850000000000001pt;margin-top:26.pt;width:145.20000000000002pt;height:19.900000000000002pt;z-index:-125829374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0" distL="0" distR="1786255" simplePos="0" relativeHeight="125829381" behindDoc="0" locked="0" layoutInCell="1" allowOverlap="1">
            <wp:simplePos x="0" y="0"/>
            <wp:positionH relativeFrom="page">
              <wp:posOffset>3060065</wp:posOffset>
            </wp:positionH>
            <wp:positionV relativeFrom="paragraph">
              <wp:posOffset>394335</wp:posOffset>
            </wp:positionV>
            <wp:extent cx="359410" cy="53022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808990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19999999999999pt;margin-top:63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3480435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4.05000000000001pt;margin-top:38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1630" distL="0" distR="0" simplePos="0" relativeHeight="125829382" behindDoc="0" locked="0" layoutInCell="1" allowOverlap="1">
                <wp:simplePos x="0" y="0"/>
                <wp:positionH relativeFrom="page">
                  <wp:posOffset>5897880</wp:posOffset>
                </wp:positionH>
                <wp:positionV relativeFrom="paragraph">
                  <wp:posOffset>330200</wp:posOffset>
                </wp:positionV>
                <wp:extent cx="1307465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4.40000000000003pt;margin-top:26.pt;width:102.95pt;height:19.900000000000002pt;z-index:-125829371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Кутейников Антон Андреевич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67950889C45403E5BD9EBC88A8D80C0D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 xml:space="preserve">Действителен с 19.05.2025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04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3060700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25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3481070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4.10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М.В. Сорбучева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СОРБУЧЕВА МАРИЯ ВАСИЛЬЕВНА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6EBF6CE6C27B6345D47DBCD40C7FA5FD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 xml:space="preserve">Действителен с 19.09.2025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13.12.2026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0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3060700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25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3481070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4.10000000000002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ПЕРЕВЕРЗЕВА ЕЛИЗАВЕТА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00FFF3ACD3A01A73F4C680C3941</w:t>
      </w:r>
      <w:r>
        <w:rPr>
          <w:rStyle w:val="CharStyle18"/>
        </w:rPr>
        <w:t>ЕЗСА026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" w:line="266" w:lineRule="auto"/>
        <w:ind w:right="0" w:firstLine="20"/>
        <w:jc w:val="left"/>
      </w:pPr>
      <w:r>
        <w:rPr>
          <w:rStyle w:val="CharStyle18"/>
        </w:rPr>
        <w:t xml:space="preserve">Действителен с 11.12.2025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06.03.2027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Исп.Сорбучева М.В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7" w:right="541" w:bottom="320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69786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786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2026-24317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4.950000000000003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2026-24317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2026-24317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5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2026-24317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205740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16.199999999999999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473075</wp:posOffset>
              </wp:positionV>
              <wp:extent cx="15557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5.85000000000002pt;margin-top:37.25pt;width:12.2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