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69" w:lineRule="auto"/>
        <w:ind w:left="0" w:right="0" w:firstLine="0"/>
        <w:jc w:val="center"/>
      </w:pPr>
      <w:r>
        <w:rPr>
          <w:rStyle w:val="CharStyle6"/>
        </w:rPr>
        <w:t>тел./факс+7 (473) 255-92-44</w:t>
        <w:br/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/>
        <w:ind w:left="0" w:right="0" w:firstLine="0"/>
        <w:jc w:val="both"/>
      </w:pPr>
      <w:r>
        <w:rPr>
          <w:rStyle w:val="CharStyle6"/>
        </w:rPr>
        <w:tab/>
        <w:t xml:space="preserve"> №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6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решение № 036/06/105-545/2026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Администрация Бутурлиновского городского</w:t>
        <w:br/>
        <w:t>поселения Бутурлиновского муниципального</w:t>
        <w:br/>
        <w:t>района Воронежской области</w:t>
        <w:br/>
        <w:t>397500, Воронежская обл, г Бутурлиновка, пл</w:t>
        <w:br/>
        <w:t>Воли, дом 1</w:t>
        <w:br/>
      </w:r>
      <w:r>
        <w:fldChar w:fldCharType="begin"/>
      </w:r>
      <w:r>
        <w:rPr/>
        <w:instrText> HYPERLINK "mailto:zakupki_adm_but@mail.ru" </w:instrText>
      </w:r>
      <w:r>
        <w:fldChar w:fldCharType="separate"/>
      </w:r>
      <w:r>
        <w:rPr>
          <w:rStyle w:val="CharStyle10"/>
          <w:lang w:val="en-US" w:eastAsia="en-US"/>
        </w:rPr>
        <w:t>zakupki_adm_but@mail.ru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85" w:bottom="1313" w:left="1125" w:header="0" w:footer="3" w:gutter="0"/>
          <w:pgNumType w:start="1"/>
          <w:cols w:num="2" w:space="720" w:equalWidth="0">
            <w:col w:w="4075" w:space="1301"/>
            <w:col w:w="4714"/>
          </w:cols>
          <w:noEndnote/>
          <w:titlePg/>
          <w:rtlGutter w:val="0"/>
          <w:docGrid w:linePitch="360"/>
        </w:sectPr>
      </w:pPr>
      <w:r>
        <w:rPr>
          <w:rStyle w:val="CharStyle10"/>
        </w:rPr>
        <w:t>ООО "ДСФ СПЕЦДОРСЕРВИС"</w:t>
        <w:br/>
        <w:t>394029, ВОРОНЕЖСКАЯ ОБЛАСТЬ, Г.</w:t>
        <w:br/>
        <w:t>ВОРОНЕЖ, ПР-КТ ЛЕНИНСКИЙ, Д.15,</w:t>
        <w:br/>
        <w:t>ОФИС 237</w:t>
        <w:br/>
      </w:r>
      <w:r>
        <w:fldChar w:fldCharType="begin"/>
      </w:r>
      <w:r>
        <w:rPr/>
        <w:instrText> HYPERLINK "mailto:specdorservis@mail.ru" </w:instrText>
      </w:r>
      <w:r>
        <w:fldChar w:fldCharType="separate"/>
      </w:r>
      <w:r>
        <w:rPr>
          <w:rStyle w:val="CharStyle10"/>
          <w:lang w:val="en-US" w:eastAsia="en-US"/>
        </w:rPr>
        <w:t>specdorservis@mail.ru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9" w:right="0" w:bottom="12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Р Е Ш Е Н И 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по результатам рассмотрения жалобы ООО «ДСФ СПЕЦДОРСЕРВИС» на действия</w:t>
        <w:br/>
        <w:t>администрации Бутурлиновского городского поселения Бутурлиновского муниципального района</w:t>
        <w:br/>
        <w:t>Воронежской области при проведении открытого конкурса в электронной форме на выполнение</w:t>
        <w:br/>
        <w:t>работ по капитальному ремонту автомобильных дорог в г. Бутурлиновка Бутурлиновского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городского поселения Бутурлиновского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муниципального района Воронежской области</w:t>
        <w:br/>
        <w:t>(номер извещения 0131300022126000017)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(дело № 036/06/105-545/2026)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043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>20.05.2026</w:t>
        <w:tab/>
        <w:t>г. Воронеж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Резолютивная часть объявлена: 20.05.2026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В полном объеме решение изготовлено 25.05.2026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Управления Федеральной антимонопольной службы по Воронежской области по контролю в сфере закупок (далее – Комиссия Воронежского УФАС России)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– Рощупкина Ю. В. – ведущий заседание – заместитель председателя Комиссии, начальник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0"/>
        </w:rPr>
        <w:t>– Гуськова У.А. – член Комиссии, государственный инспектор отдела контроля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both"/>
      </w:pPr>
      <w:r>
        <w:rPr>
          <w:rStyle w:val="CharStyle10"/>
        </w:rPr>
        <w:t>– Горелова Ю. М. – член Комиссии, государственный инспектор отдела контроля закупок, при участии представителя ООО «ДСФ СПЕЦДОРСЕРВИС»: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rStyle w:val="CharStyle10"/>
        </w:rPr>
        <w:t>Солодимовой П.И. (доверенность от 13.05.2026 г.),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представителя администрации Бутурлиновского городского поселения Бутурлиновского муниципального района Воронежской области: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Подкопаевой С.И. (доверенность от 13.05.2026 г.),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>рассмотрев жалобу ООО «ДСФ СПЕЦДОРСЕРВИС» на действия администрации Бутурлиновского городского поселения Бутурлиновского муниципального района Воронежской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 xml:space="preserve">области при проведении открытого конкурса в электронной форме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0"/>
          <w:lang w:val="en-US" w:eastAsia="en-US"/>
        </w:rPr>
        <w:t>0131300022126000017),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У С Т А Н О В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Управление Федеральной антимонопольной службы по Воронежской области поступила жалоба ООО «ДСФ СПЕЦДОРСЕРВИС»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Заявитель) на действия администрации Бутурлиновского городского поселения Бутурлиновского муниципального района Воронежской области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Заказчик, комиссия по осуществлению закупок) при проведении закупки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0"/>
          <w:lang w:val="en-US" w:eastAsia="en-US"/>
        </w:rPr>
        <w:t>0131300022126000017).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0"/>
          <w:lang w:val="en-US" w:eastAsia="en-US"/>
        </w:rPr>
        <w:t xml:space="preserve">05.04.2013 N </w:t>
      </w:r>
      <w:r>
        <w:rPr>
          <w:rStyle w:val="CharStyle10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Закон о контрактной системе), что выразилось в следующем: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Из Протокола не представляется возможным установить основания принятия одних документов, в качестве подтверждающих опыт, и основания отклонения других договоров. Кроме того, нельзя установить, какие именно документы приняты, а какие отклонены.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Протокол, не содержащий всей необходимой информации, не позволяющий выявить основания для принятия решений субъектами контроля, оформлен ненадлежащим образом, не опубликование указанной информации непосредственно затрагивает права и законные интересы участников закупки.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Заявителем в составе заявки были представлены </w:t>
      </w:r>
      <w:r>
        <w:rPr>
          <w:rStyle w:val="CharStyle10"/>
          <w:lang w:val="en-US" w:eastAsia="en-US"/>
        </w:rPr>
        <w:t xml:space="preserve">118 </w:t>
      </w:r>
      <w:r>
        <w:rPr>
          <w:rStyle w:val="CharStyle10"/>
        </w:rPr>
        <w:t xml:space="preserve">контрактов (договоров) на общую сумму </w:t>
      </w:r>
      <w:r>
        <w:rPr>
          <w:rStyle w:val="CharStyle10"/>
          <w:lang w:val="en-US" w:eastAsia="en-US"/>
        </w:rPr>
        <w:t xml:space="preserve">565 981 999,84 </w:t>
      </w:r>
      <w:r>
        <w:rPr>
          <w:rStyle w:val="CharStyle10"/>
        </w:rPr>
        <w:t xml:space="preserve">руб, однако, из протокола рассмотрения и оценки вторых частей от </w:t>
      </w:r>
      <w:r>
        <w:rPr>
          <w:rStyle w:val="CharStyle10"/>
          <w:lang w:val="en-US" w:eastAsia="en-US"/>
        </w:rPr>
        <w:t xml:space="preserve">07.05.2026 № ПРОII1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Протокол) следует, что комиссия приняла к рассмотрению договоры на сумму </w:t>
      </w:r>
      <w:r>
        <w:rPr>
          <w:rStyle w:val="CharStyle10"/>
          <w:lang w:val="en-US" w:eastAsia="en-US"/>
        </w:rPr>
        <w:t xml:space="preserve">488 995 091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Изучив материалы дела, предоставленные доказательства, а также осуществив внеплановую проверку в соответствии со статьей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о контрактной системе, Комиссия Воронежского УФАС России пришла к следующим выводам.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04.2026 </w:t>
      </w:r>
      <w:r>
        <w:rPr>
          <w:rStyle w:val="CharStyle10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0"/>
          <w:lang w:val="en-US" w:eastAsia="en-US"/>
        </w:rPr>
        <w:t xml:space="preserve">№ 0131300022126000017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Извещение).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Начальная (максимальная) цена контракта составляет </w:t>
      </w:r>
      <w:r>
        <w:rPr>
          <w:rStyle w:val="CharStyle10"/>
          <w:lang w:val="en-US" w:eastAsia="en-US"/>
        </w:rPr>
        <w:t xml:space="preserve">9 619 210,35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Предметом рассматриваемой закупки является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Определение поставщика (подрядчика, исполнителя) осуществляется путём проведения открытого конкурса в электронной форме на проведение работ по строительству, реконструкции, кап. ремонту, сносу объекта кап. строительства в соответствии с п.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Закупка вне рамок национального проекта, код бюджетной классификации 9140409843019Д130243.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Оценивая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доводы жалобы, Комиссия Воронежского УФАС России приходит к следующему.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статье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статьи, обеспечиваются, в частности, путем ее размещения в единой информационной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>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13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 протокол рассмотрения и оценки вторых частей заявок на участие в закупке должен содержать: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дату рассмотрения и оценки вторых частей заявок на участие в закупке, идентификационные номера таких заявок;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предусмотренному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настоящего Федерального закона (в случае установления такого критерия в извещении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информацию о признании определения поставщика (подрядчика, исполнителя) пунктами </w:t>
      </w:r>
      <w:r>
        <w:rPr>
          <w:rStyle w:val="CharStyle10"/>
          <w:lang w:val="en-US" w:eastAsia="en-US"/>
        </w:rPr>
        <w:t xml:space="preserve">2 4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52 </w:t>
      </w:r>
      <w:r>
        <w:rPr>
          <w:rStyle w:val="CharStyle10"/>
        </w:rPr>
        <w:t xml:space="preserve">несостоявшимся в случаях, предусмотренных пунктами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52 </w:t>
      </w:r>
      <w:r>
        <w:rPr>
          <w:rStyle w:val="CharStyle10"/>
        </w:rPr>
        <w:t>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Так, согласно Протоколу, Комиссией по осуществлению закупок указаны дата рассмотрения и оценки вторых частей заявок на участие в закупке, идентификационные номера заявок, информацию о принятом решении о признании второй части заявки на участие в закупке соответствующей извещению об осуществлении закупки, значения по критериям, установленным в извещении, 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Комиссией по осуществлению закупок не нарушены нормы законодательства о контрактной системе, доводы признаны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Оценивая довод жалобы </w:t>
      </w:r>
      <w:r>
        <w:rPr>
          <w:rStyle w:val="CharStyle10"/>
          <w:lang w:val="en-US" w:eastAsia="en-US"/>
        </w:rPr>
        <w:t xml:space="preserve">3, </w:t>
      </w:r>
      <w:r>
        <w:rPr>
          <w:rStyle w:val="CharStyle10"/>
        </w:rPr>
        <w:t>Комиссия Воронежского УФАС приходит к следующему.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и документы, предусмотренные ст.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Пунктом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 предусмотрено, что извещение об осуществлении закупки, должно содержаться, в том числе,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Закона о контрактной системе установлено, что для оценки заявок участников закупки заказчик использует следующие критерии: </w:t>
      </w:r>
      <w:r>
        <w:rPr>
          <w:rStyle w:val="CharStyle10"/>
          <w:lang w:val="en-US" w:eastAsia="en-US"/>
        </w:rPr>
        <w:t xml:space="preserve">1) </w:t>
      </w:r>
      <w:r>
        <w:rPr>
          <w:rStyle w:val="CharStyle10"/>
        </w:rPr>
        <w:t xml:space="preserve">цена контракта, сумма цен единиц товара, работы, услуги; </w:t>
      </w:r>
      <w:r>
        <w:rPr>
          <w:rStyle w:val="CharStyle10"/>
          <w:lang w:val="en-US" w:eastAsia="en-US"/>
        </w:rPr>
        <w:t xml:space="preserve">2) </w:t>
      </w:r>
      <w:r>
        <w:rPr>
          <w:rStyle w:val="CharStyle10"/>
        </w:rPr>
        <w:t xml:space="preserve">расходы на эксплуатацию и ремонт товаров, использование результатов работ; </w:t>
      </w:r>
      <w:r>
        <w:rPr>
          <w:rStyle w:val="CharStyle10"/>
          <w:lang w:val="en-US" w:eastAsia="en-US"/>
        </w:rPr>
        <w:t xml:space="preserve">3) </w:t>
      </w:r>
      <w:r>
        <w:rPr>
          <w:rStyle w:val="CharStyle10"/>
        </w:rPr>
        <w:t xml:space="preserve">качественные, функциональные и экологические характеристики объекта закупки; </w:t>
      </w:r>
      <w:r>
        <w:rPr>
          <w:rStyle w:val="CharStyle10"/>
          <w:lang w:val="en-US" w:eastAsia="en-US"/>
        </w:rPr>
        <w:t xml:space="preserve">4) </w:t>
      </w:r>
      <w:r>
        <w:rPr>
          <w:rStyle w:val="CharStyle10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>Закона о контрактной системе в извещении об осуществлении закупки заказчик обязан указать используемые при определении поставщика (подрядчика, исполнителя) критерии и их величины значимости. При этом количество используемых при определении поставщика (подрядчика, исполнителя) критериев, за исключением случаев проведения аукциона, должно быть не менее чем два, одним из которых является цена контракта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или сумма цен единиц товара, работы, услуги.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Как следует из Извещения Заказчиком при проведении настоящего Конкурса использовались следующие критерии и их величины значимости: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Критерии оценки заявок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Цена контракта. Значимость критерия оценки: </w:t>
      </w:r>
      <w:r>
        <w:rPr>
          <w:rStyle w:val="CharStyle10"/>
          <w:lang w:val="en-US" w:eastAsia="en-US"/>
        </w:rPr>
        <w:t>60.00%.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</w:t>
      </w:r>
      <w:r>
        <w:rPr>
          <w:rStyle w:val="CharStyle10"/>
          <w:lang w:val="en-US" w:eastAsia="en-US"/>
        </w:rPr>
        <w:t xml:space="preserve">cвязанного </w:t>
      </w:r>
      <w:r>
        <w:rPr>
          <w:rStyle w:val="CharStyle10"/>
        </w:rPr>
        <w:t xml:space="preserve">с предметом контракта, и деловой репутации, специалистов и иных работников определенного уровня квалификации. Значимость критерия оценки: </w:t>
      </w:r>
      <w:r>
        <w:rPr>
          <w:rStyle w:val="CharStyle10"/>
          <w:lang w:val="en-US" w:eastAsia="en-US"/>
        </w:rPr>
        <w:t>40.00%.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соответствии с Порядком рассмотрения и оценки заявок на участие в конкурсе: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«К оценке принимается исключительно исполненный договор (договоры), предусматривающие выполнение работ по капитальному ремонту, строительству, реконструкции автомобильной дороги,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44-ФЗ) и/или Федеральным законом «О закупках товаров, работ, услуг отдельными видами юридических лиц» от </w:t>
      </w:r>
      <w:r>
        <w:rPr>
          <w:rStyle w:val="CharStyle10"/>
          <w:lang w:val="en-US" w:eastAsia="en-US"/>
        </w:rPr>
        <w:t xml:space="preserve">18.07.2011 № </w:t>
      </w:r>
      <w:r>
        <w:rPr>
          <w:rStyle w:val="CharStyle10"/>
        </w:rPr>
        <w:t xml:space="preserve">223-ФЗ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223-ФЗ).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Перечень документов, подтверждающих наличие у участников закупки опыта выполнения работы, связанного с предметом контракта: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исполненный договор (договоры),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-акт (акты) приемки выполненных работ, оказанных услуг, составленные при исполнении такого договора (договоров).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 оценке принимаются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Последний акт, составленный при исполнении договора (договоров) должен быть подписан не ранее чем за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лет до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Документы, подтверждающие наличие у участника закупки опыта выполнения работы, оказания услуги, связанного с предметом контракта, направляются в форме электронных документов или в форме электронных образов бумажных документов.».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Представленные заявителем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договоров (контрактов) не соответствуют Порядку рассмотрения и оценки заявок на участие в конкурсе, поскольку не предусматривают выполнение работ по капитальному ремонту строительству, реконструкции автомобильной дороги,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44-ФЗ) и/или Федеральным законом «О закупках товаров, работ, услуг отдельными видами юридических лиц» от </w:t>
      </w:r>
      <w:r>
        <w:rPr>
          <w:rStyle w:val="CharStyle10"/>
          <w:lang w:val="en-US" w:eastAsia="en-US"/>
        </w:rPr>
        <w:t xml:space="preserve">18.07.2011 № </w:t>
      </w:r>
      <w:r>
        <w:rPr>
          <w:rStyle w:val="CharStyle10"/>
        </w:rPr>
        <w:t xml:space="preserve">223-ФЗ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223-ФЗ).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07.05.2026 </w:t>
      </w:r>
      <w:r>
        <w:rPr>
          <w:rStyle w:val="CharStyle15"/>
        </w:rPr>
        <w:t>№ИЭОК1, Комиссией по осуществлению закупок приняты следующие решения:</w:t>
      </w:r>
    </w:p>
    <w:tbl>
      <w:tblPr>
        <w:tblOverlap w:val="never"/>
        <w:jc w:val="center"/>
        <w:tblLayout w:type="fixed"/>
      </w:tblPr>
      <w:tblGrid>
        <w:gridCol w:w="1594"/>
        <w:gridCol w:w="1565"/>
        <w:gridCol w:w="1565"/>
        <w:gridCol w:w="1565"/>
        <w:gridCol w:w="1565"/>
        <w:gridCol w:w="2362"/>
      </w:tblGrid>
      <w:tr>
        <w:trPr>
          <w:trHeight w:val="25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Идентифика ционный номер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>Порядковый номер 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 xml:space="preserve">Оценка заявки по критерию, установленн ому п.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1 </w:t>
            </w:r>
            <w:r>
              <w:rPr>
                <w:rStyle w:val="CharStyle17"/>
                <w:b/>
                <w:bCs/>
              </w:rPr>
              <w:t xml:space="preserve">ч.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1 </w:t>
            </w:r>
            <w:r>
              <w:rPr>
                <w:rStyle w:val="CharStyle17"/>
                <w:b/>
                <w:bCs/>
              </w:rPr>
              <w:t xml:space="preserve">ст.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32 </w:t>
            </w:r>
            <w:r>
              <w:rPr>
                <w:rStyle w:val="CharStyle17"/>
                <w:b/>
                <w:bCs/>
              </w:rPr>
              <w:t xml:space="preserve">Закона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44- </w:t>
            </w:r>
            <w:r>
              <w:rPr>
                <w:rStyle w:val="CharStyle17"/>
                <w:b/>
                <w:bCs/>
              </w:rPr>
              <w:t>ФЗ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 xml:space="preserve">Оценка заявки по критериям, предусмотре нным п.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2 </w:t>
            </w:r>
            <w:r>
              <w:rPr>
                <w:rStyle w:val="CharStyle17"/>
                <w:b/>
                <w:bCs/>
              </w:rPr>
              <w:t xml:space="preserve">и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3 </w:t>
            </w:r>
            <w:r>
              <w:rPr>
                <w:rStyle w:val="CharStyle17"/>
                <w:b/>
                <w:bCs/>
              </w:rPr>
              <w:t xml:space="preserve">ч.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1 </w:t>
            </w:r>
            <w:r>
              <w:rPr>
                <w:rStyle w:val="CharStyle17"/>
                <w:b/>
                <w:bCs/>
              </w:rPr>
              <w:t xml:space="preserve">ст.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32 </w:t>
            </w:r>
            <w:r>
              <w:rPr>
                <w:rStyle w:val="CharStyle17"/>
                <w:b/>
                <w:bCs/>
              </w:rPr>
              <w:t xml:space="preserve">Закона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44- </w:t>
            </w:r>
            <w:r>
              <w:rPr>
                <w:rStyle w:val="CharStyle17"/>
                <w:b/>
                <w:bCs/>
              </w:rPr>
              <w:t>ФЗ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 xml:space="preserve">Оценка заявки по критерию, установленн ому п.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4 </w:t>
            </w:r>
            <w:r>
              <w:rPr>
                <w:rStyle w:val="CharStyle17"/>
                <w:b/>
                <w:bCs/>
              </w:rPr>
              <w:t xml:space="preserve">ч.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1 </w:t>
            </w:r>
            <w:r>
              <w:rPr>
                <w:rStyle w:val="CharStyle17"/>
                <w:b/>
                <w:bCs/>
              </w:rPr>
              <w:t xml:space="preserve">ст.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32 </w:t>
            </w:r>
            <w:r>
              <w:rPr>
                <w:rStyle w:val="CharStyle17"/>
                <w:b/>
                <w:bCs/>
              </w:rPr>
              <w:t xml:space="preserve">Закона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44- </w:t>
            </w:r>
            <w:r>
              <w:rPr>
                <w:rStyle w:val="CharStyle17"/>
                <w:b/>
                <w:bCs/>
              </w:rPr>
              <w:t>ФЗ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</w:rPr>
              <w:t xml:space="preserve">Итоговая оценка заявки по критериям, установленным п.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1-4 </w:t>
            </w:r>
            <w:r>
              <w:rPr>
                <w:rStyle w:val="CharStyle17"/>
                <w:b/>
                <w:bCs/>
              </w:rPr>
              <w:t xml:space="preserve">ч.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1 </w:t>
            </w:r>
            <w:r>
              <w:rPr>
                <w:rStyle w:val="CharStyle17"/>
                <w:b/>
                <w:bCs/>
              </w:rPr>
              <w:t xml:space="preserve">ст. </w:t>
            </w:r>
            <w:r>
              <w:rPr>
                <w:rStyle w:val="CharStyle17"/>
                <w:b/>
                <w:bCs/>
                <w:lang w:val="en-US" w:eastAsia="en-US"/>
              </w:rPr>
              <w:t xml:space="preserve">32 </w:t>
            </w:r>
            <w:r>
              <w:rPr>
                <w:rStyle w:val="CharStyle17"/>
                <w:b/>
                <w:bCs/>
              </w:rPr>
              <w:t>Закона 44-ФЗ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59.73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  <w:lang w:val="en-US" w:eastAsia="en-US"/>
              </w:rPr>
              <w:t>99.73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91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52.58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23.95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  <w:lang w:val="en-US" w:eastAsia="en-US"/>
              </w:rPr>
              <w:t>76.53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594"/>
        <w:gridCol w:w="1565"/>
        <w:gridCol w:w="1565"/>
        <w:gridCol w:w="1565"/>
        <w:gridCol w:w="1565"/>
        <w:gridCol w:w="2362"/>
      </w:tblGrid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113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11.08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  <w:lang w:val="en-US" w:eastAsia="en-US"/>
              </w:rPr>
              <w:t>71.08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32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52.58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lang w:val="en-US" w:eastAsia="en-US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7"/>
                <w:b/>
                <w:bCs/>
                <w:lang w:val="en-US" w:eastAsia="en-US"/>
              </w:rPr>
              <w:t>52.58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07.05.2026 </w:t>
      </w:r>
      <w:r>
        <w:rPr>
          <w:rStyle w:val="CharStyle15"/>
        </w:rPr>
        <w:t xml:space="preserve">№ИЭОК1 заявке Заявителя было присвоено </w:t>
      </w:r>
      <w:r>
        <w:rPr>
          <w:rStyle w:val="CharStyle15"/>
          <w:lang w:val="en-US" w:eastAsia="en-US"/>
        </w:rPr>
        <w:t xml:space="preserve">71.08 </w:t>
      </w:r>
      <w:r>
        <w:rPr>
          <w:rStyle w:val="CharStyle15"/>
        </w:rPr>
        <w:t>баллов.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представленным Заказчиком пояснениям в ходе рассмотрения заявок участников имели место технические сложности с открытием некоторых папок с документами на электронной площадке Сбербанк АСТ, система выдавала ошибки при попытке доступа к определённым файлам.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Таким образом, Комиссией по осуществлению закупок не был зачтён договор на сумму </w:t>
      </w:r>
      <w:r>
        <w:rPr>
          <w:rStyle w:val="CharStyle10"/>
          <w:lang w:val="en-US" w:eastAsia="en-US"/>
        </w:rPr>
        <w:t xml:space="preserve">177 252,26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рамках рассмотрения настоящей жалобы, Комиссией по осуществлению закупок представлен перерасчёт баллов с учетом не зачтенных контрактов, согласно которому итоговая оценка заявки соответствует </w:t>
      </w:r>
      <w:r>
        <w:rPr>
          <w:rStyle w:val="CharStyle10"/>
          <w:lang w:val="en-US" w:eastAsia="en-US"/>
        </w:rPr>
        <w:t xml:space="preserve">90,18 </w:t>
      </w:r>
      <w:r>
        <w:rPr>
          <w:rStyle w:val="CharStyle10"/>
        </w:rPr>
        <w:t>баллам, место Заявителя изменилось с третьего на второе.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Комиссией установлено, что в составе заявки Заявителя были представлены договоры на общую сумму </w:t>
      </w:r>
      <w:r>
        <w:rPr>
          <w:rStyle w:val="CharStyle10"/>
          <w:lang w:val="en-US" w:eastAsia="en-US"/>
        </w:rPr>
        <w:t xml:space="preserve">565 981 999,84 </w:t>
      </w:r>
      <w:r>
        <w:rPr>
          <w:rStyle w:val="CharStyle10"/>
        </w:rPr>
        <w:t xml:space="preserve">руб., из которых комиссией были приняты к оценке договоры на сумму </w:t>
      </w:r>
      <w:r>
        <w:rPr>
          <w:rStyle w:val="CharStyle10"/>
          <w:lang w:val="en-US" w:eastAsia="en-US"/>
        </w:rPr>
        <w:t xml:space="preserve">488 995 091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Договор с ценой </w:t>
      </w:r>
      <w:r>
        <w:rPr>
          <w:rStyle w:val="CharStyle10"/>
          <w:lang w:val="en-US" w:eastAsia="en-US"/>
        </w:rPr>
        <w:t xml:space="preserve">71 906 873,36 </w:t>
      </w:r>
      <w:r>
        <w:rPr>
          <w:rStyle w:val="CharStyle10"/>
        </w:rPr>
        <w:t>руб. был исключён из оценки по причине его несоответствия предмету закупки (работы по капитальному ремонту автомобильных дорог).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Однако в соответствии с разъяснениями ФАС России, содержащимися в письме от </w:t>
      </w:r>
      <w:r>
        <w:rPr>
          <w:rStyle w:val="CharStyle10"/>
          <w:lang w:val="en-US" w:eastAsia="en-US"/>
        </w:rPr>
        <w:t xml:space="preserve">26.07.2023 № </w:t>
      </w:r>
      <w:r>
        <w:rPr>
          <w:rStyle w:val="CharStyle10"/>
        </w:rPr>
        <w:t>ДФ/59546/23, закон о контрактной системе не требует, чтобы для подтверждения опыта участник представлял контракты, содержащие абсолютно все виды работ будущей закупки. Основополагающее значение имеет факт выполнения работ сопоставимого характера и объёма.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этом после пересчёта критериев место участника изменилось, что подтверждает существенность допущенного нарушения для определения итогового рейтинга.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этой связи Комиссия Воронежского УФАС России приходит к выводу, что отказ в учёте представленного договора по мотиву его несоответствия по формальным признакам является необоснованным и противоречит принципу обеспечения конкуренции, установленному ст.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исходя из материалов настоящего дела, Комиссией Воронежского УФАС России установлено, что согласно предоставленному Комиссией по осуществлению закупок в материалы дела перерасчету баллов, результаты оценки заявок являются иными, что не соответсвует значению, указанному в протоколах.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вышеизложенного, Комиссия Воронежского УФАС России приходит к выводу, что Комиссией по осуществлению закупок допущены нарушения подпункта «б»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Вышеуказанное нарушение содержит признаки состава административного правонарушения, предусмотренного частью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7.30.1 </w:t>
      </w:r>
      <w:r>
        <w:rPr>
          <w:rStyle w:val="CharStyle10"/>
        </w:rPr>
        <w:t xml:space="preserve">Кодекса Российской Федерации об административных правонарушениях. Комиссия Воронежского УФАС России, руководствуясь ст.ст. </w:t>
      </w:r>
      <w:r>
        <w:rPr>
          <w:rStyle w:val="CharStyle10"/>
          <w:lang w:val="en-US" w:eastAsia="en-US"/>
        </w:rPr>
        <w:t xml:space="preserve">99, 106 </w:t>
      </w:r>
      <w:r>
        <w:rPr>
          <w:rStyle w:val="CharStyle10"/>
        </w:rPr>
        <w:t>Закона о контрактной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Признать жалобу ООО «ДСФ СПЕЦДОРСЕРВИС» на действия комиссии по осуществлению закупок администрации Бутурлиновского городского поселения Бутурлиновского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0"/>
          <w:lang w:val="en-US" w:eastAsia="en-US"/>
        </w:rPr>
        <w:t xml:space="preserve">0131300022126000017) </w:t>
      </w:r>
      <w:r>
        <w:rPr>
          <w:rStyle w:val="CharStyle10"/>
        </w:rPr>
        <w:t>обоснованной частично.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Признать в действиях комиссии по осуществлению закупок администрации Бутурлиновского городского поселения Бутурлиновского муниципального района Воронежской области нарушение статьи </w:t>
      </w:r>
      <w:r>
        <w:rPr>
          <w:rStyle w:val="CharStyle10"/>
          <w:lang w:val="en-US" w:eastAsia="en-US"/>
        </w:rPr>
        <w:t xml:space="preserve">8, </w:t>
      </w:r>
      <w:r>
        <w:rPr>
          <w:rStyle w:val="CharStyle10"/>
        </w:rPr>
        <w:t xml:space="preserve">подпункта «б»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Выдать предписание комиссии по осуществлению закупок администрации Бутурлиновского городского поселения Бутурлиновского муниципального района Воронежской области об устранении допущенных нарушений.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Передать материалы настоящего дела соответствующему должностному лицу Управления Федеральной антимонопольной службы по Воронежской области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9" w:right="540" w:bottom="1233" w:left="110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7465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444500</wp:posOffset>
                </wp:positionV>
                <wp:extent cx="1569720" cy="2165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35.pt;width:123.60000000000001pt;height:17.050000000000001pt;z-index:-125829374;mso-wrap-distance-left:0;mso-wrap-distance-top:35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4350" distB="0" distL="0" distR="1786255" simplePos="0" relativeHeight="12582938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514350</wp:posOffset>
            </wp:positionV>
            <wp:extent cx="359410" cy="52451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919480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5.40000000000001pt;margin-top:72.40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602615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25pt;margin-top:47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74650" distL="0" distR="0" simplePos="0" relativeHeight="125829382" behindDoc="0" locked="0" layoutInCell="1" allowOverlap="1">
                <wp:simplePos x="0" y="0"/>
                <wp:positionH relativeFrom="page">
                  <wp:posOffset>6049010</wp:posOffset>
                </wp:positionH>
                <wp:positionV relativeFrom="paragraph">
                  <wp:posOffset>444500</wp:posOffset>
                </wp:positionV>
                <wp:extent cx="1139825" cy="21653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6.30000000000001pt;margin-top:35.pt;width:89.75pt;height:17.050000000000001pt;z-index:-125829371;mso-wrap-distance-left:0;mso-wrap-distance-top:35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Рощупкина Юлия Вениаминовна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00AF4D3D160B60C8EFFA4933C71</w:t>
      </w:r>
      <w:r>
        <w:rPr>
          <w:rStyle w:val="CharStyle20"/>
        </w:rPr>
        <w:t>1509056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17.04.2026 </w:t>
      </w:r>
      <w:r>
        <w:rPr>
          <w:rStyle w:val="CharStyle20"/>
          <w:color w:val="5C5C5C"/>
        </w:rPr>
        <w:t>по 1</w:t>
      </w:r>
      <w:r>
        <w:rPr>
          <w:rStyle w:val="CharStyle20"/>
        </w:rPr>
        <w:t>1.07.2027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6274435</wp:posOffset>
                </wp:positionH>
                <wp:positionV relativeFrom="paragraph">
                  <wp:posOffset>241300</wp:posOffset>
                </wp:positionV>
                <wp:extent cx="914400" cy="216535"/>
                <wp:wrapSquare wrapText="left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У.А. Гуськова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94.05000000000001pt;margin-top:19.pt;width:72.pt;height:17.05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У.А. Гуськова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Члены комиссии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10" w:line="240" w:lineRule="auto"/>
        <w:ind w:right="0" w:firstLine="0"/>
        <w:jc w:val="left"/>
      </w:pPr>
      <w:r>
        <w:rPr>
          <w:rStyle w:val="CharStyle25"/>
        </w:rPr>
        <w:t xml:space="preserve">Подлинник электронного документа, подписанного </w:t>
      </w:r>
      <w:r>
        <w:rPr>
          <w:rStyle w:val="CharStyle25"/>
          <w:color w:val="000000"/>
        </w:rPr>
        <w:t xml:space="preserve">ЭП, </w:t>
      </w:r>
      <w:r>
        <w:rPr>
          <w:rStyle w:val="CharStyle25"/>
        </w:rPr>
        <w:t>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0"/>
          <w:color w:val="E7E7E7"/>
          <w:sz w:val="11"/>
          <w:szCs w:val="11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Гуськова Ульяна Алексеевна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00C838BAE35A8F17E3C8A51AE0E53CC0C</w:t>
      </w:r>
      <w:r>
        <w:rPr>
          <w:rStyle w:val="CharStyle20"/>
          <w:lang w:val="en-US" w:eastAsia="en-US"/>
        </w:rPr>
        <w:t>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rPr>
          <w:rStyle w:val="CharStyle20"/>
        </w:rPr>
        <w:t>Действителен с 13.10.2025 по 06.01.2027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Ю.М. Горелова</w:t>
      </w:r>
    </w:p>
    <w:p>
      <w:pPr>
        <w:widowControl w:val="0"/>
        <w:spacing w:line="1" w:lineRule="exact"/>
      </w:pPr>
      <w:r>
        <w:drawing>
          <wp:anchor distT="0" distB="0" distL="0" distR="1786255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0</wp:posOffset>
            </wp:positionV>
            <wp:extent cx="359410" cy="51816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402590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40000000000001pt;margin-top:31.6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85090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25pt;margin-top:6.7000000000000002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ГОРЕЛОВА ЮЛИЯ МИХАЙЛОВНА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00FF7542F1CF520D7ED33CCA8883500081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21.04.2026 </w:t>
      </w:r>
      <w:r>
        <w:rPr>
          <w:rStyle w:val="CharStyle20"/>
          <w:color w:val="5C5C5C"/>
        </w:rPr>
        <w:t xml:space="preserve">по </w:t>
      </w:r>
      <w:r>
        <w:rPr>
          <w:rStyle w:val="CharStyle20"/>
        </w:rPr>
        <w:t>15.07.2027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7928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10010140</wp:posOffset>
              </wp:positionV>
              <wp:extent cx="64897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2026-3351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5pt;margin-top:788.20000000000005pt;width:51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2026-3351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2026-3351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75.70000000000005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2026-3351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Table caption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Other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0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Table caption"/>
    <w:basedOn w:val="Normal"/>
    <w:link w:val="CharStyle15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20"/>
      <w:ind w:left="3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