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rStyle w:val="CharStyle6"/>
        </w:rPr>
        <w:t>тел./факс+7 (473) 255-92-44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/>
        <w:ind w:left="0" w:right="0" w:firstLine="0"/>
        <w:jc w:val="both"/>
      </w:pPr>
      <w:r>
        <w:rPr>
          <w:rStyle w:val="CharStyle6"/>
        </w:rPr>
        <w:tab/>
        <w:t xml:space="preserve"> №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rStyle w:val="CharStyle6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 № 036/06/105-546/2026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ООО "ДСФ СПЕЦДОРСЕРВИС"</w:t>
        <w:br/>
        <w:t>394029, ВОРОНЕЖСКАЯ ОБЛАСТЬ, Г.</w:t>
        <w:br/>
        <w:t>ВОРОНЕЖ, ПР-КТ ЛЕНИНСКИЙ, Д.15,</w:t>
        <w:br/>
        <w:t>ОФИС 237</w:t>
        <w:br/>
      </w:r>
      <w:r>
        <w:fldChar w:fldCharType="begin"/>
      </w:r>
      <w:r>
        <w:rPr/>
        <w:instrText> HYPERLINK "mailto:specdorservis@mail.ru" </w:instrText>
      </w:r>
      <w:r>
        <w:fldChar w:fldCharType="separate"/>
      </w:r>
      <w:r>
        <w:rPr>
          <w:rStyle w:val="CharStyle10"/>
          <w:lang w:val="en-US" w:eastAsia="en-US"/>
        </w:rPr>
        <w:t>specdorservis@mail.ru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56" w:bottom="1313" w:left="1130" w:header="0" w:footer="3" w:gutter="0"/>
          <w:pgNumType w:start="1"/>
          <w:cols w:num="2" w:space="720" w:equalWidth="0">
            <w:col w:w="4118" w:space="1224"/>
            <w:col w:w="4771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>Администрация Бутурлиновского городского</w:t>
        <w:br/>
        <w:t>поселения Бутурлиновского муниципального</w:t>
        <w:br/>
        <w:t>района Воронежской области</w:t>
        <w:br/>
        <w:t>397500, Воронежская обл., Бутурлиновский р</w:t>
        <w:t>-</w:t>
        <w:br/>
        <w:t>н, г. Бутурлиновка, пл. Воли, д. 1</w:t>
        <w:br/>
      </w:r>
      <w:r>
        <w:fldChar w:fldCharType="begin"/>
      </w:r>
      <w:r>
        <w:rPr/>
        <w:instrText> HYPERLINK "mailto:zakupki_adm_but@mail.ru" </w:instrText>
      </w:r>
      <w:r>
        <w:fldChar w:fldCharType="separate"/>
      </w:r>
      <w:r>
        <w:rPr>
          <w:rStyle w:val="CharStyle10"/>
          <w:lang w:val="en-US" w:eastAsia="en-US"/>
        </w:rPr>
        <w:t>zakupki_adm_but@mail.ru</w:t>
      </w:r>
      <w:r>
        <w:fldChar w:fldCharType="end"/>
      </w:r>
      <w:r>
        <w:rPr>
          <w:rStyle w:val="CharStyle10"/>
          <w:lang w:val="en-US" w:eastAsia="en-US"/>
        </w:rPr>
        <w:t>;</w:t>
        <w:br/>
      </w:r>
      <w:r>
        <w:fldChar w:fldCharType="begin"/>
      </w:r>
      <w:r>
        <w:rPr/>
        <w:instrText> HYPERLINK "mailto:buturlin.buturl@govvrn.ru" </w:instrText>
      </w:r>
      <w:r>
        <w:fldChar w:fldCharType="separate"/>
      </w:r>
      <w:r>
        <w:rPr>
          <w:rStyle w:val="CharStyle10"/>
          <w:lang w:val="en-US" w:eastAsia="en-US"/>
        </w:rPr>
        <w:t>buturlin.buturl@govvrn.ru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5" w:after="10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2" w:right="0" w:bottom="11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 Е Ш Е Н И 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по результатам рассмотрения жалобы ООО «ДСФ СПЕЦДОРСЕРВИС» на действия</w:t>
        <w:br/>
        <w:t>администрации Бутурлиновского городского поселения Бутурлиновского муниципального района</w:t>
        <w:br/>
        <w:t>Воронежской области при проведении открытого конкурса в электронной форме на выполнение</w:t>
        <w:br/>
        <w:t>работ по капитальному ремонту автомобильных дорог в г. Бутурлиновка Бутурлиновского</w:t>
        <w:br/>
        <w:t>городского поселения Бутурлиновского</w:t>
        <w:br/>
        <w:t>муниципального района Воронежской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0"/>
        </w:rPr>
        <w:t>(номер извещения 0131300022126000018)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(дело № 036/06/105-546/2026)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53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>20.05.2026</w:t>
        <w:tab/>
        <w:t>г. Воронеж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Резолютивная часть объявлена: 20.05.2026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В полном объеме решение изготовлено 25.05.2026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Управления Федеральной антимонопольной службы по Воронежской области по контролю в сфере закупок (далее – Комиссия Воронежского УФАС России)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– Рощупкина Ю. В. – ведущий заседание – заместитель председателя Комиссии, начальник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– Гуськова У.А. – член Комиссии, государственный инспектор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– Горелова Ю. М. – член Комиссии, государственный инспектор отдела контроля закупок, при участии представителя ООО «ДСФ СПЕЦДОРСЕРВИС»: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Солодимовой П.И. (доверенность от 13.05.2026 г.),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представителя администрации Бутурлиновского городского поселения Бутурлиновского муниципального района Воронежской области: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Подкопаевой С.И. (доверенность от 13.05.2026 г.),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>рассмотрев жалобу ООО «ДСФ СПЕЦДОРСЕРВИС» на действия администрации Бутурлиновского городского поселения Бутурлиновского муниципального района Воронежской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 xml:space="preserve">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>0131300022126000017),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У С Т А Н О В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Управление Федеральной антимонопольной службы по Воронежской области поступила жалоба ООО «ДСФ СПЕЦДОРСЕРВИС»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Заявитель) на действия администрации Бутурлиновского городского поселения Бутурлиновского муниципального района Воронежской области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Заказчик, комиссия по осуществлению закупок) при проведении закупки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>0131300022126000018).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0"/>
          <w:lang w:val="en-US" w:eastAsia="en-US"/>
        </w:rPr>
        <w:t xml:space="preserve">05.04.2013 N </w:t>
      </w:r>
      <w:r>
        <w:rPr>
          <w:rStyle w:val="CharStyle10"/>
        </w:rPr>
        <w:t xml:space="preserve">44-ФЗ «О контрактной системе в сфере закупок товаров работ, услуг для обеспечения государственных и муниципальных нужд» (далее также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Закон о контрактной системе), что выразилось в следующем: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Из Протокола не представляется возможным установить основания принятия одних документов, в качестве подтверждающих опыт, и основания отклонения других договоров. Кроме того, нельзя установить, какие именно документы приняты, а какие отклонены.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Протокол, не содержащий всей необходимой информации, не позволяющий выявить основания для принятия решений субъектами контроля, оформлен ненадлежащим образом, не опубликование указанной информации непосредственно затрагивает права и законные интересы участников закупки.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Заявителем в составе заявки были представлены </w:t>
      </w:r>
      <w:r>
        <w:rPr>
          <w:rStyle w:val="CharStyle10"/>
          <w:lang w:val="en-US" w:eastAsia="en-US"/>
        </w:rPr>
        <w:t xml:space="preserve">118 </w:t>
      </w:r>
      <w:r>
        <w:rPr>
          <w:rStyle w:val="CharStyle10"/>
        </w:rPr>
        <w:t xml:space="preserve">контрактов (договоров) на общую сумму </w:t>
      </w:r>
      <w:r>
        <w:rPr>
          <w:rStyle w:val="CharStyle10"/>
          <w:lang w:val="en-US" w:eastAsia="en-US"/>
        </w:rPr>
        <w:t xml:space="preserve">565 981 999,84 </w:t>
      </w:r>
      <w:r>
        <w:rPr>
          <w:rStyle w:val="CharStyle10"/>
        </w:rPr>
        <w:t xml:space="preserve">руб, однако, из протокола рассмотрения и оценки вторых частей от </w:t>
      </w:r>
      <w:r>
        <w:rPr>
          <w:rStyle w:val="CharStyle10"/>
          <w:lang w:val="en-US" w:eastAsia="en-US"/>
        </w:rPr>
        <w:t xml:space="preserve">12.05.2026 № ПРОII1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Протокол) следует, что комиссия приняла к рассмотрению договоры на сумму </w:t>
      </w:r>
      <w:r>
        <w:rPr>
          <w:rStyle w:val="CharStyle10"/>
          <w:lang w:val="en-US" w:eastAsia="en-US"/>
        </w:rPr>
        <w:t xml:space="preserve">488 995 091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системе, Комиссия Воронежского УФАС России пришла к следующим выводам.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04.2026 </w:t>
      </w:r>
      <w:r>
        <w:rPr>
          <w:rStyle w:val="CharStyle10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0"/>
          <w:lang w:val="en-US" w:eastAsia="en-US"/>
        </w:rPr>
        <w:t xml:space="preserve">№ 0131300022126000018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Начальная (максимальная) цена контракта составляет </w:t>
      </w:r>
      <w:r>
        <w:rPr>
          <w:rStyle w:val="CharStyle10"/>
          <w:lang w:val="en-US" w:eastAsia="en-US"/>
        </w:rPr>
        <w:t xml:space="preserve">7 826 061,20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Предметом рассматриваемой закупки является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Определение поставщика (подрядчика, исполнителя) осуществляется путём проведения открытого конкурса в электронной форме на проведение работ по строительству, реконструкции кап. ремонту, сносу объекта кап. строительства в соответствии с п.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Закупка вне рамок национального проекта, код бюджетной классификации 9140409843019Д130243.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Оценивая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доводы жалобы, Комиссия Воронежского УФАС России приходит к следующему.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статье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статьи, обеспечиваются, в частности, путем ее размещения в единой информационной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>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13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дату рассмотрения и оценки вторых частей заявок на участие в закупке идентификационные номера таких заявок;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 извещению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предусмотренному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информацию о признании определения поставщика (подрядчика, исполнителя) пунктами </w:t>
      </w:r>
      <w:r>
        <w:rPr>
          <w:rStyle w:val="CharStyle10"/>
          <w:lang w:val="en-US" w:eastAsia="en-US"/>
        </w:rPr>
        <w:t xml:space="preserve">2 4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52 </w:t>
      </w:r>
      <w:r>
        <w:rPr>
          <w:rStyle w:val="CharStyle10"/>
        </w:rPr>
        <w:t xml:space="preserve">несостоявшимся в случаях, предусмотренных пунктами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52 </w:t>
      </w:r>
      <w:r>
        <w:rPr>
          <w:rStyle w:val="CharStyle10"/>
        </w:rPr>
        <w:t>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Так, согласно Протоколу, Комиссией по осуществлению закупок указаны дата рассмотрения и оценки вторых частей заявок на участие в закупке,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закупки, значения по критериям, установленным в извещении,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закупке, в отношении каждой второй части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Комиссией по осуществлению закупок не нарушены нормы законодательства о контрактной системе, доводы признаны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Оценивая довод жалобы </w:t>
      </w:r>
      <w:r>
        <w:rPr>
          <w:rStyle w:val="CharStyle10"/>
          <w:lang w:val="en-US" w:eastAsia="en-US"/>
        </w:rPr>
        <w:t xml:space="preserve">3, </w:t>
      </w:r>
      <w:r>
        <w:rPr>
          <w:rStyle w:val="CharStyle10"/>
        </w:rPr>
        <w:t>Комиссия Воронежского УФАС приходит к следующему.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документы, предусмотренные 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 предусмотрено, что извещение об осуществлении закупки, должно содержаться, в том числе,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Закона о контрактной системе установлено, что для оценки заявок участников закупки заказчик использует следующие критерии: </w:t>
      </w:r>
      <w:r>
        <w:rPr>
          <w:rStyle w:val="CharStyle10"/>
          <w:lang w:val="en-US" w:eastAsia="en-US"/>
        </w:rPr>
        <w:t xml:space="preserve">1) </w:t>
      </w:r>
      <w:r>
        <w:rPr>
          <w:rStyle w:val="CharStyle10"/>
        </w:rPr>
        <w:t xml:space="preserve">цена контракта, сумма цен единиц товара, работы, услуги; </w:t>
      </w:r>
      <w:r>
        <w:rPr>
          <w:rStyle w:val="CharStyle10"/>
          <w:lang w:val="en-US" w:eastAsia="en-US"/>
        </w:rPr>
        <w:t xml:space="preserve">2) </w:t>
      </w:r>
      <w:r>
        <w:rPr>
          <w:rStyle w:val="CharStyle10"/>
        </w:rPr>
        <w:t xml:space="preserve">расходы на эксплуатацию и ремонт товаров, использование результатов работ; </w:t>
      </w:r>
      <w:r>
        <w:rPr>
          <w:rStyle w:val="CharStyle10"/>
          <w:lang w:val="en-US" w:eastAsia="en-US"/>
        </w:rPr>
        <w:t xml:space="preserve">3) </w:t>
      </w:r>
      <w:r>
        <w:rPr>
          <w:rStyle w:val="CharStyle10"/>
        </w:rPr>
        <w:t xml:space="preserve">качественные, функциональные и экологические характеристики объекта закупки; </w:t>
      </w:r>
      <w:r>
        <w:rPr>
          <w:rStyle w:val="CharStyle10"/>
          <w:lang w:val="en-US" w:eastAsia="en-US"/>
        </w:rPr>
        <w:t xml:space="preserve">4) </w:t>
      </w:r>
      <w:r>
        <w:rPr>
          <w:rStyle w:val="CharStyle10"/>
        </w:rPr>
        <w:t>квалификация участников закупки, в том числе наличие у них финансовых ресурсов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 о контрактной системе в извещении об осуществлении закупки заказчик обязан указать используемые при определении поставщика (подрядчика исполнителя) критерии и их величины значимости. При этом количество используемых при определении поставщика (подрядчика, исполнителя) критериев, за исключением случаев проведения аукциона, должно быть не менее чем два, одним из которых является цена контракта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или сумма цен единиц товара, работы, услуги.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Как следует из Извещения Заказчиком при проведении настоящего Конкурса использовались следующие критерии и их величины значимости: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Критерии оценки заявок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Цена контракта. Значимость критерия оценки: </w:t>
      </w:r>
      <w:r>
        <w:rPr>
          <w:rStyle w:val="CharStyle10"/>
          <w:lang w:val="en-US" w:eastAsia="en-US"/>
        </w:rPr>
        <w:t>60.00%.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</w:t>
      </w:r>
      <w:r>
        <w:rPr>
          <w:rStyle w:val="CharStyle10"/>
          <w:lang w:val="en-US" w:eastAsia="en-US"/>
        </w:rPr>
        <w:t xml:space="preserve">cвязанного </w:t>
      </w:r>
      <w:r>
        <w:rPr>
          <w:rStyle w:val="CharStyle10"/>
        </w:rPr>
        <w:t xml:space="preserve">с предметом контракта, и деловой репутации, специалистов и иных работников определенного уровня квалификации. Значимость критерия оценки: </w:t>
      </w:r>
      <w:r>
        <w:rPr>
          <w:rStyle w:val="CharStyle10"/>
          <w:lang w:val="en-US" w:eastAsia="en-US"/>
        </w:rPr>
        <w:t>40.00%.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соответствии с Порядком рассмотрения и оценки заявок на участие в конкурсе: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«К оценке принимается исключительно исполненный договор (договоры) предусматривающие выполнение работ по капитальному ремонту, строительству, реконструкции автомобильной дороги,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44-ФЗ) и/или Федеральным законом «О закупках товаров работ, услуг отдельными видами юридических лиц» от </w:t>
      </w:r>
      <w:r>
        <w:rPr>
          <w:rStyle w:val="CharStyle10"/>
          <w:lang w:val="en-US" w:eastAsia="en-US"/>
        </w:rPr>
        <w:t xml:space="preserve">18.07.2011 № </w:t>
      </w:r>
      <w:r>
        <w:rPr>
          <w:rStyle w:val="CharStyle10"/>
        </w:rPr>
        <w:t xml:space="preserve">223-ФЗ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223-ФЗ).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Перечень документов, подтверждающих наличие у участников закупки опыта выполнения работы, связанного с предметом контракта: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исполненный договор (договоры),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-акт (акты) приемки выполненных работ, оказанных услуг, составленные при исполнении такого договора (договоров).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 оценке принимаются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Последний акт, составленный при исполнении договора (договоров) должен быть подписан не ранее чем за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Документы, подтверждающие наличие у участника закупки опыта выполнения работы оказания услуги, связанного с предметом контракта, направляются в форме электронных документов или в форме электронных образов бумажных документов.».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Представленные заявителем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договоров (контрактов) не соответствуют Порядку рассмотрения и оценки заявок на участие в конкурсе, поскольку не предусматривают выполнение работ по капитальному ремонту строительству, реконструкции автомобильной дороги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44-ФЗ) и/или Федеральным законом «О закупках товаров, работ, услуг отдельными видами юридических лиц» от </w:t>
      </w:r>
      <w:r>
        <w:rPr>
          <w:rStyle w:val="CharStyle10"/>
          <w:lang w:val="en-US" w:eastAsia="en-US"/>
        </w:rPr>
        <w:t xml:space="preserve">18.07.2011 № </w:t>
      </w:r>
      <w:r>
        <w:rPr>
          <w:rStyle w:val="CharStyle10"/>
        </w:rPr>
        <w:t xml:space="preserve">223-ФЗ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223-ФЗ).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протоколом подведения итогов определения поставщика (подрядчика исполнителя) от </w:t>
      </w:r>
      <w:r>
        <w:rPr>
          <w:rStyle w:val="CharStyle10"/>
          <w:lang w:val="en-US" w:eastAsia="en-US"/>
        </w:rPr>
        <w:t xml:space="preserve">12.05.2026 </w:t>
      </w:r>
      <w:r>
        <w:rPr>
          <w:rStyle w:val="CharStyle10"/>
        </w:rPr>
        <w:t>№ИЭОК1, Комиссией по осуществлению закупок приняты следующие решения:</w:t>
      </w:r>
    </w:p>
    <w:tbl>
      <w:tblPr>
        <w:tblOverlap w:val="never"/>
        <w:jc w:val="center"/>
        <w:tblLayout w:type="fixed"/>
      </w:tblPr>
      <w:tblGrid>
        <w:gridCol w:w="1594"/>
        <w:gridCol w:w="1565"/>
        <w:gridCol w:w="1565"/>
        <w:gridCol w:w="1565"/>
        <w:gridCol w:w="1565"/>
        <w:gridCol w:w="2362"/>
      </w:tblGrid>
      <w:tr>
        <w:trPr>
          <w:trHeight w:val="18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Идентификаци онный номер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Порядковый номер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Оценка заявки по критерию, установленном </w:t>
            </w:r>
            <w:r>
              <w:rPr>
                <w:rStyle w:val="CharStyle15"/>
                <w:b/>
                <w:bCs/>
                <w:sz w:val="20"/>
                <w:szCs w:val="20"/>
                <w:vertAlign w:val="superscript"/>
              </w:rPr>
              <w:t xml:space="preserve">у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п.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ст.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32 </w:t>
            </w:r>
            <w:r>
              <w:rPr>
                <w:rStyle w:val="CharStyle15"/>
                <w:b/>
                <w:bCs/>
                <w:sz w:val="20"/>
                <w:szCs w:val="20"/>
              </w:rPr>
              <w:t>Закона 44-ФЗ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Оценка заявки по критериям, предусмотренн ым п.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и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ст.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32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Закона 44-ФЗ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Оценка заявки по критерию, установленном </w:t>
            </w:r>
            <w:r>
              <w:rPr>
                <w:rStyle w:val="CharStyle15"/>
                <w:b/>
                <w:bCs/>
                <w:sz w:val="20"/>
                <w:szCs w:val="20"/>
                <w:vertAlign w:val="superscript"/>
              </w:rPr>
              <w:t xml:space="preserve">у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п.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4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ст.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32 </w:t>
            </w:r>
            <w:r>
              <w:rPr>
                <w:rStyle w:val="CharStyle15"/>
                <w:b/>
                <w:bCs/>
                <w:sz w:val="20"/>
                <w:szCs w:val="20"/>
              </w:rPr>
              <w:t>Закона 44-ФЗ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Итоговая оценка заявки по критериям, установленным п.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1-4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ст.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32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Закона 44-ФЗ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51.97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91.97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227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51.97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23.95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75.92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11.08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71.08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175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51.97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51.97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протоколом подведения итогов определения поставщика (подрядчика исполнителя) от </w:t>
      </w:r>
      <w:r>
        <w:rPr>
          <w:rStyle w:val="CharStyle10"/>
          <w:lang w:val="en-US" w:eastAsia="en-US"/>
        </w:rPr>
        <w:t xml:space="preserve">12.05.2026 </w:t>
      </w:r>
      <w:r>
        <w:rPr>
          <w:rStyle w:val="CharStyle10"/>
        </w:rPr>
        <w:t xml:space="preserve">№ИЭОК1 заявке Заявителя было присвоено </w:t>
      </w:r>
      <w:r>
        <w:rPr>
          <w:rStyle w:val="CharStyle10"/>
          <w:lang w:val="en-US" w:eastAsia="en-US"/>
        </w:rPr>
        <w:t xml:space="preserve">71.08 </w:t>
      </w:r>
      <w:r>
        <w:rPr>
          <w:rStyle w:val="CharStyle10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представленным Заказчиком пояснениям в ходе рассмотрения заявок участников имели место технические сложности с открытием некоторых папок с документами на электронной площадке Сбербанк АСТ, система выдавала ошибки при попытке доступа к определённым файлам.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образом, Комиссией по осуществлению закупок не был зачтён договор на сумму </w:t>
      </w:r>
      <w:r>
        <w:rPr>
          <w:rStyle w:val="CharStyle10"/>
          <w:lang w:val="en-US" w:eastAsia="en-US"/>
        </w:rPr>
        <w:t xml:space="preserve">177 252,26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рамках рассмотрения настоящей жалобы, Комиссией по осуществлению закупок представлен перерасчёт баллов с учетом не зачтенных контрактов, согласно которому итоговая оценка заявки соответствует </w:t>
      </w:r>
      <w:r>
        <w:rPr>
          <w:rStyle w:val="CharStyle10"/>
          <w:lang w:val="en-US" w:eastAsia="en-US"/>
        </w:rPr>
        <w:t xml:space="preserve">90,18 </w:t>
      </w:r>
      <w:r>
        <w:rPr>
          <w:rStyle w:val="CharStyle10"/>
        </w:rPr>
        <w:t>баллам, место Заявителя изменилось с третьего на второе.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Комиссией установлено, что в составе заявки Заявителя </w:t>
      </w:r>
      <w:r>
        <w:rPr>
          <w:rStyle w:val="CharStyle10"/>
          <w:lang w:val="en-US" w:eastAsia="en-US"/>
        </w:rPr>
        <w:t xml:space="preserve">(№ 168) </w:t>
      </w:r>
      <w:r>
        <w:rPr>
          <w:rStyle w:val="CharStyle10"/>
        </w:rPr>
        <w:t xml:space="preserve">были представлены договоры на общую сумму </w:t>
      </w:r>
      <w:r>
        <w:rPr>
          <w:rStyle w:val="CharStyle10"/>
          <w:lang w:val="en-US" w:eastAsia="en-US"/>
        </w:rPr>
        <w:t xml:space="preserve">565 981 999,84 </w:t>
      </w:r>
      <w:r>
        <w:rPr>
          <w:rStyle w:val="CharStyle10"/>
        </w:rPr>
        <w:t xml:space="preserve">руб., из которых комиссией были приняты к оценке договоры на сумму </w:t>
      </w:r>
      <w:r>
        <w:rPr>
          <w:rStyle w:val="CharStyle10"/>
          <w:lang w:val="en-US" w:eastAsia="en-US"/>
        </w:rPr>
        <w:t xml:space="preserve">488 995 091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Договор с ценой </w:t>
      </w:r>
      <w:r>
        <w:rPr>
          <w:rStyle w:val="CharStyle10"/>
          <w:lang w:val="en-US" w:eastAsia="en-US"/>
        </w:rPr>
        <w:t xml:space="preserve">71 906 873,36 </w:t>
      </w:r>
      <w:r>
        <w:rPr>
          <w:rStyle w:val="CharStyle10"/>
        </w:rPr>
        <w:t>руб. был исключён из оценки по причине его несоответствия предмету закупки (работы по капитальному ремонту автомобильных дорог).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Однако в соответствии с разъяснениями ФАС России, содержащимися в письме от </w:t>
      </w:r>
      <w:r>
        <w:rPr>
          <w:rStyle w:val="CharStyle10"/>
          <w:lang w:val="en-US" w:eastAsia="en-US"/>
        </w:rPr>
        <w:t xml:space="preserve">26.07.2023 № </w:t>
      </w:r>
      <w:r>
        <w:rPr>
          <w:rStyle w:val="CharStyle10"/>
        </w:rPr>
        <w:t>ДФ/59546/23, закон о контрактной системе не требует, чтобы для подтверждения опыта участник представлял контракты, содержащие абсолютно все виды работ будущей закупки. Основополагающее значение имеет факт выполнения работ сопоставимого характера и объёма.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после пересчёта критериев место участника изменилось, что подтверждает существенность допущенного нарушения для определения итогового рейтинга.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этой связи Комиссия Воронежского УФАС России приходит к выводу, что отказ в учёте представленного договора по мотиву его несоответствия по формальным признакам является необоснованным и противоречит принципу обеспечения конкуренции, установленному ст.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исходя из материалов настоящего дела, Комиссией Воронежского УФАС России установлено, что согласно предоставленному Комиссией по осуществлению закупок в материалы дела перерасчету баллов, результаты оценки заявок являются иными, что не соответсвует значению, указанному в протоколах.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вышеизложенного, Комиссия Воронежского УФАС России приходит к выводу, что Комиссией по осуществлению закупок допущены нарушения подпункта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Вышеуказанное нарушение содержит признаки состава административного правонарушения, предусмотренного частью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7.30.1 </w:t>
      </w:r>
      <w:r>
        <w:rPr>
          <w:rStyle w:val="CharStyle10"/>
        </w:rPr>
        <w:t xml:space="preserve">Кодекса Российской Федерации об административных правонарушениях. Комиссия Воронежского УФАС России, руководствуясь ст.ст. </w:t>
      </w:r>
      <w:r>
        <w:rPr>
          <w:rStyle w:val="CharStyle10"/>
          <w:lang w:val="en-US" w:eastAsia="en-US"/>
        </w:rPr>
        <w:t xml:space="preserve">99, 106 </w:t>
      </w:r>
      <w:r>
        <w:rPr>
          <w:rStyle w:val="CharStyle10"/>
        </w:rPr>
        <w:t>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Признать жалобу ООО «ДСФ СПЕЦДОРСЕРВИС» на действия комиссии по осуществлению закупок администрации Бутурлиновского городского поселения Бутурлиновского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 xml:space="preserve">0131300022126000018) </w:t>
      </w:r>
      <w:r>
        <w:rPr>
          <w:rStyle w:val="CharStyle10"/>
        </w:rPr>
        <w:t>обоснованной частично.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Признать в действиях комиссии по осуществлению закупок администрации Бутурлиновского городского поселения Бутурлиновского муниципального района Воронежской области нарушение статьи </w:t>
      </w:r>
      <w:r>
        <w:rPr>
          <w:rStyle w:val="CharStyle10"/>
          <w:lang w:val="en-US" w:eastAsia="en-US"/>
        </w:rPr>
        <w:t xml:space="preserve">8, </w:t>
      </w:r>
      <w:r>
        <w:rPr>
          <w:rStyle w:val="CharStyle10"/>
        </w:rPr>
        <w:t xml:space="preserve">подпункта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>Выдать предписание комиссии по осуществлению закупок администрации Бутурлиновского городского поселения Бутурлиновского муниципального района Воронежской области об устранении допущенных нарушений.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Передать материалы настоящего дела соответствующему должностному лицу Управления Федеральной антимонопольной службы по Воронежской области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2" w:right="541" w:bottom="119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465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300000000000004pt;margin-top:22.pt;width:123.60000000000001pt;height:17.050000000000001pt;z-index:-125829374;mso-wrap-distance-left:0;mso-wrap-distance-top:2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9250" distB="0" distL="0" distR="1786255" simplePos="0" relativeHeight="125829381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349250</wp:posOffset>
            </wp:positionV>
            <wp:extent cx="359410" cy="5245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754380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5.5pt;margin-top:59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437515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34999999999999pt;margin-top:34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4650" distL="0" distR="0" simplePos="0" relativeHeight="125829382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279400</wp:posOffset>
                </wp:positionV>
                <wp:extent cx="1139825" cy="2165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6.40000000000003pt;margin-top:22.pt;width:89.75pt;height:17.050000000000001pt;z-index:-125829371;mso-wrap-distance-left:0;mso-wrap-distance-top:2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Рощупкина Юлия Вениаминовна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00AF4D3D160B60C8EFFA4933C71</w:t>
      </w:r>
      <w:r>
        <w:rPr>
          <w:rStyle w:val="CharStyle19"/>
        </w:rPr>
        <w:t>1509056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17.04.2026 </w:t>
      </w:r>
      <w:r>
        <w:rPr>
          <w:rStyle w:val="CharStyle19"/>
          <w:color w:val="5D5D5D"/>
        </w:rPr>
        <w:t>по 1</w:t>
      </w:r>
      <w:r>
        <w:rPr>
          <w:rStyle w:val="CharStyle19"/>
        </w:rPr>
        <w:t>1.07.2027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5.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34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У.А. Гуськова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Гуськова Ульяна Алексеевна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00C838BAE35A8F17E3C8A51AE0E53CC0C</w:t>
      </w:r>
      <w:r>
        <w:rPr>
          <w:rStyle w:val="CharStyle19"/>
          <w:lang w:val="en-US" w:eastAsia="en-US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13.10.2025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06.01.2027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2611755</wp:posOffset>
            </wp:positionH>
            <wp:positionV relativeFrom="paragraph">
              <wp:posOffset>88900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494030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2.15000000000001pt;margin-top:38.899999999999999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3032125</wp:posOffset>
                </wp:positionH>
                <wp:positionV relativeFrom="paragraph">
                  <wp:posOffset>177165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38.75pt;margin-top:13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Ю.М. Горелова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ГОРЕЛОВА ЮЛИЯ МИХАЙЛОВНА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00FF7542F1CF520D7ED33CCA8883500081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</w:pPr>
      <w:r>
        <w:rPr>
          <w:rStyle w:val="CharStyle19"/>
        </w:rPr>
        <w:t xml:space="preserve">Действителен с 21.04.2026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658495" cy="7302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2026-3354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9.30000000000007pt;width:51.85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2026-3354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9888220</wp:posOffset>
              </wp:positionV>
              <wp:extent cx="658495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2026-3354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8.60000000000002pt;width:51.85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2026-3354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