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77925" distR="1120775" simplePos="0" relativeHeight="125829378" behindDoc="0" locked="0" layoutInCell="1" allowOverlap="1">
            <wp:simplePos x="0" y="0"/>
            <wp:positionH relativeFrom="page">
              <wp:posOffset>1782445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718820</wp:posOffset>
                </wp:positionH>
                <wp:positionV relativeFrom="paragraph">
                  <wp:posOffset>622300</wp:posOffset>
                </wp:positionV>
                <wp:extent cx="2581910" cy="21640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600000000000001pt;margin-top:49.pt;width:203.30000000000001pt;height:170.40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rStyle w:val="CharStyle7"/>
        </w:rPr>
        <w:t>ГБУЗ «ДГП №122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fldChar w:fldCharType="begin"/>
      </w:r>
      <w:r>
        <w:rPr/>
        <w:instrText> HYPERLINK "mailto:dgp122@mail.ru" </w:instrText>
      </w:r>
      <w:r>
        <w:fldChar w:fldCharType="separate"/>
      </w:r>
      <w:r>
        <w:rPr>
          <w:rStyle w:val="CharStyle7"/>
          <w:lang w:val="en-US" w:eastAsia="en-US"/>
        </w:rPr>
        <w:t>dgp122@mail.ru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rStyle w:val="CharStyle7"/>
        </w:rPr>
        <w:t>ООО «Триумф»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fldChar w:fldCharType="begin"/>
      </w:r>
      <w:r>
        <w:rPr/>
        <w:instrText> HYPERLINK "mailto:triumfbusiness@gmail.com" </w:instrText>
      </w:r>
      <w:r>
        <w:fldChar w:fldCharType="separate"/>
      </w:r>
      <w:r>
        <w:rPr>
          <w:rStyle w:val="CharStyle7"/>
          <w:lang w:val="en-US" w:eastAsia="en-US"/>
        </w:rPr>
        <w:t>triumfbusiness@gmail.com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rStyle w:val="CharStyle7"/>
        </w:rPr>
        <w:t>АО«ЕЭТП»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1040" w:right="0" w:firstLine="0"/>
        <w:jc w:val="both"/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по делу № 077/06/105-6286/2026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6315075</wp:posOffset>
                </wp:positionH>
                <wp:positionV relativeFrom="paragraph">
                  <wp:posOffset>25400</wp:posOffset>
                </wp:positionV>
                <wp:extent cx="795655" cy="20701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5655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97.25pt;margin-top:2.pt;width:62.649999999999999pt;height:16.30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7"/>
          <w:b/>
          <w:bCs/>
        </w:rPr>
        <w:t>18.05.2026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М.О. Мацневой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Специалиста-эксперта отдела обжалования государственных закупок А.С. Гелмутдиновой,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ГБУЗ «ДГП №122 ДЗМ»: Е.В. Анкудиновой (по дов. от 16.01.2026 №Б/Н), И. А. Скрыльникова (по дов. от 15.05.2026 №Б/Н),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ООО «Триумф»: А.Ю. Горячева (по дов. от 24.02.2026 №Б/Н)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ООО «Мегаполис»: А.Н. Терентьева (по дов. от 10.04.2026 №Б/Н) ( в качестве слушателя),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7"/>
        </w:rPr>
        <w:t>рассмотрев жалобу ООО «Триумф» (далее – Заявитель) на действия ГБУЗ «ДГП №122 ДЗМ» (далее – Заказчик) при проведении электронного аукциона на право заключения государственного контракта на право заключения государственного контракта на оказание услуг по техническому обслуживанию инженерных систем, зданий и помещений по адресам: г. Москва, улица Амурская, дом 62А; г. Москва, ул. Байкальская, дом 28; г. Москва, шоссе Щёлковское, дом 82, корпус 2. (Закупка № 0373200029526000015) (далее –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w:rPr>
          <w:rStyle w:val="CharStyle7"/>
        </w:rPr>
        <w:t xml:space="preserve">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Московское УФАС России поступила жалоба Заявителя на действия комиссии по осуществлению закупок Заказчика при проведении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составе жалобы Заявитель указывает, что комиссией по осуществлению закупок Заказчика нарушены нормы Закона о контрактной системе в результате отклонения заявки Заявителя.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08.05.2026 </w:t>
      </w:r>
      <w:r>
        <w:rPr>
          <w:rStyle w:val="CharStyle7"/>
        </w:rPr>
        <w:t xml:space="preserve">№ИЭА1 заявка участника закупки Заявителя, с идентификационным номером заявки </w:t>
      </w:r>
      <w:r>
        <w:rPr>
          <w:rStyle w:val="CharStyle7"/>
          <w:lang w:val="en-US" w:eastAsia="en-US"/>
        </w:rPr>
        <w:t xml:space="preserve">3184402, </w:t>
      </w:r>
      <w:r>
        <w:rPr>
          <w:rStyle w:val="CharStyle7"/>
        </w:rPr>
        <w:t>отклонена комиссией по осуществлению закупок Заказчика на следующем основании: «</w:t>
      </w:r>
      <w:r>
        <w:rPr>
          <w:rStyle w:val="CharStyle7"/>
          <w:i/>
          <w:iCs/>
        </w:rPr>
        <w:t xml:space="preserve">Отклонить заявку на участие в закупке по п.3 ч.12 ст.48 №44-ФЗ «Несоответствие участника закупки требованиям, установленным в извещении об осуществлении закупки в соответствии с ч.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с. </w:t>
      </w:r>
      <w:r>
        <w:rPr>
          <w:rStyle w:val="CharStyle7"/>
          <w:i/>
          <w:iCs/>
          <w:lang w:val="en-US" w:eastAsia="en-US"/>
        </w:rPr>
        <w:t xml:space="preserve">31 </w:t>
      </w:r>
      <w:r>
        <w:rPr>
          <w:rStyle w:val="CharStyle7"/>
          <w:i/>
          <w:iCs/>
        </w:rPr>
        <w:t xml:space="preserve">44-ФЗ, требованиям, установленным в извещении об осуществлении закупки в соответствии с ч.ч. </w:t>
      </w:r>
      <w:r>
        <w:rPr>
          <w:rStyle w:val="CharStyle7"/>
          <w:i/>
          <w:iCs/>
          <w:lang w:val="en-US" w:eastAsia="en-US"/>
        </w:rPr>
        <w:t xml:space="preserve">1.1, 2 </w:t>
      </w:r>
      <w:r>
        <w:rPr>
          <w:rStyle w:val="CharStyle7"/>
          <w:i/>
          <w:iCs/>
        </w:rPr>
        <w:t xml:space="preserve">и </w:t>
      </w:r>
      <w:r>
        <w:rPr>
          <w:rStyle w:val="CharStyle7"/>
          <w:i/>
          <w:iCs/>
          <w:lang w:val="en-US" w:eastAsia="en-US"/>
        </w:rPr>
        <w:t xml:space="preserve">2.1 </w:t>
      </w:r>
      <w:r>
        <w:rPr>
          <w:rStyle w:val="CharStyle7"/>
          <w:i/>
          <w:iCs/>
        </w:rPr>
        <w:t xml:space="preserve">(при наличии таких требований) ст. </w:t>
      </w:r>
      <w:r>
        <w:rPr>
          <w:rStyle w:val="CharStyle7"/>
          <w:i/>
          <w:iCs/>
          <w:lang w:val="en-US" w:eastAsia="en-US"/>
        </w:rPr>
        <w:t xml:space="preserve">31 </w:t>
      </w:r>
      <w:r>
        <w:rPr>
          <w:rStyle w:val="CharStyle7"/>
          <w:i/>
          <w:iCs/>
        </w:rPr>
        <w:t xml:space="preserve">44-ФЗ» Предоставленная документация не соответствует требованиям позиции </w:t>
      </w:r>
      <w:r>
        <w:rPr>
          <w:rStyle w:val="CharStyle7"/>
          <w:i/>
          <w:iCs/>
          <w:lang w:val="en-US" w:eastAsia="en-US"/>
        </w:rPr>
        <w:t xml:space="preserve">14 </w:t>
      </w:r>
      <w:r>
        <w:rPr>
          <w:rStyle w:val="CharStyle7"/>
          <w:i/>
          <w:iCs/>
        </w:rPr>
        <w:t xml:space="preserve">раздела </w:t>
      </w:r>
      <w:r>
        <w:rPr>
          <w:rStyle w:val="CharStyle7"/>
          <w:i/>
          <w:iCs/>
          <w:lang w:val="en-US" w:eastAsia="en-US"/>
        </w:rPr>
        <w:t xml:space="preserve">II </w:t>
      </w:r>
      <w:r>
        <w:rPr>
          <w:rStyle w:val="CharStyle7"/>
          <w:i/>
          <w:iCs/>
        </w:rPr>
        <w:t xml:space="preserve">приложения к ПП РФ от </w:t>
      </w:r>
      <w:r>
        <w:rPr>
          <w:rStyle w:val="CharStyle7"/>
          <w:i/>
          <w:iCs/>
          <w:lang w:val="en-US" w:eastAsia="en-US"/>
        </w:rPr>
        <w:t xml:space="preserve">29.12.2021 № 2571 </w:t>
      </w:r>
      <w:r>
        <w:rPr>
          <w:rStyle w:val="CharStyle7"/>
          <w:i/>
          <w:iCs/>
        </w:rPr>
        <w:t>(наличие опыта исполнения участником закупки договора, предусматривающего выполнение работ, оказание услуг по техническому обслуживанию зданий, сооружений). Наличие опыта по данному виду работ, не подтверждено».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На основании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ст.31 Закона о контрактной системе, устанавливается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720"/>
        <w:jc w:val="both"/>
      </w:pPr>
      <w:r>
        <w:rPr>
          <w:rStyle w:val="CharStyle7"/>
        </w:rPr>
        <w:t xml:space="preserve">Вместе с этим пп.«а» п.1 постановления Правительства РФ от </w:t>
      </w:r>
      <w:r>
        <w:rPr>
          <w:rStyle w:val="CharStyle7"/>
          <w:lang w:val="en-US" w:eastAsia="en-US"/>
        </w:rPr>
        <w:t xml:space="preserve">29.12.2021 №2571 </w:t>
      </w:r>
      <w:r>
        <w:rPr>
          <w:rStyle w:val="CharStyle7"/>
        </w:rPr>
        <w:t xml:space="preserve">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№2571) </w:t>
      </w:r>
      <w:r>
        <w:rPr>
          <w:rStyle w:val="CharStyle7"/>
        </w:rPr>
        <w:t>установлено, что к участникам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закупки отдельных видов товаров, работ, услуг предъявляются дополнительные требования согласно приложению«Дополнительные требования к участникам закупки отдельных видов товаров, работ, услуг, участникам отдельных видов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Приложение). Соответствие участников закупки указанным дополнительным требованиям подтверждается информацией и документами, предусмотренными Приложением.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пп.«а» п.3 Постановления </w:t>
      </w:r>
      <w:r>
        <w:rPr>
          <w:rStyle w:val="CharStyle7"/>
          <w:lang w:val="en-US" w:eastAsia="en-US"/>
        </w:rPr>
        <w:t xml:space="preserve">№2571 </w:t>
      </w:r>
      <w:r>
        <w:rPr>
          <w:rStyle w:val="CharStyle7"/>
        </w:rPr>
        <w:t xml:space="preserve">положения Постановления </w:t>
      </w:r>
      <w:r>
        <w:rPr>
          <w:rStyle w:val="CharStyle7"/>
          <w:lang w:val="en-US" w:eastAsia="en-US"/>
        </w:rPr>
        <w:t xml:space="preserve">№2571 </w:t>
      </w:r>
      <w:r>
        <w:rPr>
          <w:rStyle w:val="CharStyle7"/>
        </w:rPr>
        <w:t>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позиция Приложения применяется с учетом положений п.3 Постановления </w:t>
      </w:r>
      <w:r>
        <w:rPr>
          <w:rStyle w:val="CharStyle7"/>
          <w:lang w:val="en-US" w:eastAsia="en-US"/>
        </w:rPr>
        <w:t xml:space="preserve">№2571 </w:t>
      </w:r>
      <w:r>
        <w:rPr>
          <w:rStyle w:val="CharStyle7"/>
        </w:rPr>
        <w:t>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 вне зависимости от сферы осуществления деятельности заказчика;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позиции </w:t>
      </w:r>
      <w:r>
        <w:rPr>
          <w:rStyle w:val="CharStyle7"/>
          <w:lang w:val="en-US" w:eastAsia="en-US"/>
        </w:rPr>
        <w:t xml:space="preserve">14, 15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36 </w:t>
      </w:r>
      <w:r>
        <w:rPr>
          <w:rStyle w:val="CharStyle7"/>
        </w:rPr>
        <w:t xml:space="preserve">Приложения применяются в случае, если при осуществлении закупки начальная (максимальная) цена контракта превышает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млн.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основании п.14 Приложения при проведении закупочной процедуры объектом которой являются работы, услуги по техническому обслуживанию зданий, сооружений к участникам закупочной процедуры предъявляются дополнительные требования о наличии опыта исполнения участником закупки договора, предусматривающего выполнение работ, оказание услуг по техническому обслуживанию зданий, сооружений. Цена выполненных работ, оказанных услуг по договору должна составлять не менее </w:t>
      </w:r>
      <w:r>
        <w:rPr>
          <w:rStyle w:val="CharStyle7"/>
          <w:lang w:val="en-US" w:eastAsia="en-US"/>
        </w:rPr>
        <w:t xml:space="preserve">20 </w:t>
      </w:r>
      <w:r>
        <w:rPr>
          <w:rStyle w:val="CharStyle7"/>
        </w:rPr>
        <w:t>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этом информацией и документами, подтверждающими соответствие участников закупки дополнительным требованиям является: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исполненный договор;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акт выполненных работ, оказанных услуг, подтверждающий цену выполненных работ, оказанных услуг.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п.9 ч.1 ст.42 Закона о контрактной системе извещение об осуществлении закупки должно содержать информацию о начальной (максимальной) цене контракта (цена отдельных этапов исполнения контракта, если проектом контракта предусмотрены такие этапы), источнике финансирования, наименовании валюты 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соответствии с общероссийским классификатором валют. В случае предусмотренном ч.24 ст.22 Закона о контрактной системе, указываются начальная цена единицы товара, работы, услуги, а также начальная сумма цен указанных единиц и максимальное значение цены контракта. В случаях, установленных Правительством Российской Федерации в соответствии с ч.2 ст.34 Закона о контрактной системе, указываются ориентировочное значение цены контракта либо формула цены и максимальное значение цены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что, согласно извещению об осуществлении закупки, объектом закупочной процедуры является оказание услуг по техническому обслуживанию инженерных систем, зданий и помещений по адресам: г. Москва, улица Амурская, дом 62А; г. Москва, ул. Байкальская, дом </w:t>
      </w:r>
      <w:r>
        <w:rPr>
          <w:rStyle w:val="CharStyle7"/>
          <w:lang w:val="en-US" w:eastAsia="en-US"/>
        </w:rPr>
        <w:t xml:space="preserve">28; </w:t>
      </w:r>
      <w:r>
        <w:rPr>
          <w:rStyle w:val="CharStyle7"/>
        </w:rPr>
        <w:t xml:space="preserve">г. Москва, шоссе Щёлковское, дом </w:t>
      </w:r>
      <w:r>
        <w:rPr>
          <w:rStyle w:val="CharStyle7"/>
          <w:lang w:val="en-US" w:eastAsia="en-US"/>
        </w:rPr>
        <w:t xml:space="preserve">82, </w:t>
      </w:r>
      <w:r>
        <w:rPr>
          <w:rStyle w:val="CharStyle7"/>
        </w:rPr>
        <w:t xml:space="preserve">корпус </w:t>
      </w:r>
      <w:r>
        <w:rPr>
          <w:rStyle w:val="CharStyle7"/>
          <w:lang w:val="en-US" w:eastAsia="en-US"/>
        </w:rPr>
        <w:t>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ч.5 ст.31 Закона о контрактной системе информация об установленных требованиях в соответствии с частями </w:t>
      </w:r>
      <w:r>
        <w:rPr>
          <w:rStyle w:val="CharStyle7"/>
          <w:lang w:val="en-US" w:eastAsia="en-US"/>
        </w:rPr>
        <w:t xml:space="preserve">1, 1.1, 2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ст.31 Закона о контрактной системе указывается заказчиком в извещении об осуществлении закупки и документации о закупке (в случае, если Законом о контрактной системе предусмотрена документация о закупке).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основании п.12 ч.1 ст.42 Закона о контрактной системе извещение об осуществлении закупки, должно содержать требования, предъявляемые к участникам закупки в соответствии с ч.1 ст.31 Закона о контрактной системе, требования, предъявляемые к участникам закупки в соответствии с ч.2 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 xml:space="preserve">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>Закона о контрактной системе (при наличии такого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в составе извещения Заказчиком установлены требования в соответствии с позицией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раздела </w:t>
      </w:r>
      <w:r>
        <w:rPr>
          <w:rStyle w:val="CharStyle7"/>
          <w:lang w:val="en-US" w:eastAsia="en-US"/>
        </w:rPr>
        <w:t xml:space="preserve">II </w:t>
      </w:r>
      <w:r>
        <w:rPr>
          <w:rStyle w:val="CharStyle7"/>
        </w:rPr>
        <w:t xml:space="preserve">приложения к ПП РФ от </w:t>
      </w:r>
      <w:r>
        <w:rPr>
          <w:rStyle w:val="CharStyle7"/>
          <w:lang w:val="en-US" w:eastAsia="en-US"/>
        </w:rPr>
        <w:t xml:space="preserve">29.12.2021 № 2571: </w:t>
      </w:r>
      <w:r>
        <w:rPr>
          <w:rStyle w:val="CharStyle7"/>
        </w:rPr>
        <w:t xml:space="preserve">наличие опыта исполнения участником закупки договора, предусматривающего выполнение работ оказание услуг по техническому обслуживанию зданий, сооружений. Цена выполненных работ оказание услуг по договору должна составлять не менее </w:t>
      </w:r>
      <w:r>
        <w:rPr>
          <w:rStyle w:val="CharStyle7"/>
          <w:lang w:val="en-US" w:eastAsia="en-US"/>
        </w:rPr>
        <w:t xml:space="preserve">20 </w:t>
      </w:r>
      <w:r>
        <w:rPr>
          <w:rStyle w:val="CharStyle7"/>
        </w:rPr>
        <w:t xml:space="preserve">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</w:t>
      </w:r>
      <w:r>
        <w:rPr>
          <w:rStyle w:val="CharStyle7"/>
          <w:lang w:val="en-US" w:eastAsia="en-US"/>
        </w:rPr>
        <w:t xml:space="preserve">1) </w:t>
      </w:r>
      <w:r>
        <w:rPr>
          <w:rStyle w:val="CharStyle7"/>
        </w:rPr>
        <w:t xml:space="preserve">исполненный договор; </w:t>
      </w:r>
      <w:r>
        <w:rPr>
          <w:rStyle w:val="CharStyle7"/>
          <w:lang w:val="en-US" w:eastAsia="en-US"/>
        </w:rPr>
        <w:t xml:space="preserve">2) </w:t>
      </w:r>
      <w:r>
        <w:rPr>
          <w:rStyle w:val="CharStyle7"/>
        </w:rPr>
        <w:t>акт выполненных работ оказанных услуг, подтверждающий цену выполненных работ оказанных услуг.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«п» п.1,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«в» п.2,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основании пп.«н» п.1 ч.1 ст.43 Закона о контрактной системе заявка на участие в закупке должна содержать документы, подтверждающие соответствие участника закупки требованиям, установленным п.1 ч.1 ст.31 Закона о контрактной системе, документы, подтверждающие соответствие участника закупки дополнительным требованиям, установленным в соответствии с ч.2 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(при наличии таких требований) ст.31 Закона о контрактной системе, если иное не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предусмотрено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п.3 ч.6 ст.43 Закона о контрактной системе при проведении электронных процедур документы, подтверждающие соответствие участника закупки дополнительным требованиям, установленным в соответствии с ч.2 или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(при наличии таких требований) ст.31 Закона о контрактной системе, и предусмотренные пп.«н» п.1 ч.1 ст.43 Закона о контрактной системе, не включаются участником закупки в заявку на участие в закупке. Такие документы в случаях, предусмотренных Законом о контрактной системе,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что, оператором электронной площадки, в соответствии с п.3 ч.6 ст.43 Закона о контрактной системе, направлены Заказчику в сведения о контракте с реестровым номером </w:t>
      </w:r>
      <w:r>
        <w:rPr>
          <w:rStyle w:val="CharStyle7"/>
          <w:lang w:val="en-US" w:eastAsia="en-US"/>
        </w:rPr>
        <w:t xml:space="preserve">0373100014524000185, </w:t>
      </w:r>
      <w:r>
        <w:rPr>
          <w:rStyle w:val="CharStyle7"/>
        </w:rPr>
        <w:t xml:space="preserve">на оказание услуг по комплексному техническому обслуживанию систем пожарной сигнализации, систем пожаротушения, оповещения людей о пожаре и управления эвакуацией, первичных средств пожаротушения ФГБУ «ГВКГ им. Н.Н.Бурденко» Минобороны России и Филиала </w:t>
      </w:r>
      <w:r>
        <w:rPr>
          <w:rStyle w:val="CharStyle7"/>
          <w:lang w:val="en-US" w:eastAsia="en-US"/>
        </w:rPr>
        <w:t xml:space="preserve">№ 7 </w:t>
      </w:r>
      <w:r>
        <w:rPr>
          <w:rStyle w:val="CharStyle7"/>
        </w:rPr>
        <w:t xml:space="preserve">ФГБУ «ГВКГ им. Н.Н.Бурденко» Минобороны России в </w:t>
      </w:r>
      <w:r>
        <w:rPr>
          <w:rStyle w:val="CharStyle7"/>
          <w:lang w:val="en-US" w:eastAsia="en-US"/>
        </w:rPr>
        <w:t xml:space="preserve">2024-2025 </w:t>
      </w:r>
      <w:r>
        <w:rPr>
          <w:rStyle w:val="CharStyle7"/>
        </w:rPr>
        <w:t>годах.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</w:t>
      </w:r>
      <w:r>
        <w:rPr>
          <w:rStyle w:val="CharStyle7"/>
          <w:lang w:val="en-US" w:eastAsia="en-US"/>
        </w:rPr>
        <w:t xml:space="preserve">- 8 </w:t>
      </w:r>
      <w:r>
        <w:rPr>
          <w:rStyle w:val="CharStyle7"/>
        </w:rPr>
        <w:t>ч.12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п.2 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п.2 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закупки в соответствии с ч.1.1,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 xml:space="preserve">(при наличии таких требований) статьи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предусмотренных пп.«а» п.1 (за исключением случая, предусмотренного п.5 ч.12 ст.48 Закона о контрактной системе), пп.«а» п.2 ч.4, пп.«а» п.1 (за исключением случая, предусмотренного п.5 ч.12 ст.48 Закона о контрактной системе), п.2 ч.5 ст.14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непредставления информации и документов, предусмотренных п.5 ч.1 ст.43 Закона о контрактной системе, если такие информация и документы определены в соответствии с п.2 ч.2 ст.14 Закона о контрактной системе (в случае установления в соответствии с пп.«а» п.1 ч.2 ст.14 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выявления отнесения участника закупки к организациям, предусмотренным пунктом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Федерального закона от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июня </w:t>
      </w:r>
      <w:r>
        <w:rPr>
          <w:rStyle w:val="CharStyle7"/>
          <w:lang w:val="en-US" w:eastAsia="en-US"/>
        </w:rPr>
        <w:t xml:space="preserve">2018 </w:t>
      </w:r>
      <w:r>
        <w:rPr>
          <w:rStyle w:val="CharStyle7"/>
        </w:rPr>
        <w:t>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выявления недостоверной информации, содержащейся в заявке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составе жалобы Заявитель указывает на то, что участником представлены документы и информация, подтверждающие наличия опыта, соответствующего позиции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раздела </w:t>
      </w:r>
      <w:r>
        <w:rPr>
          <w:rStyle w:val="CharStyle7"/>
          <w:lang w:val="en-US" w:eastAsia="en-US"/>
        </w:rPr>
        <w:t xml:space="preserve">II </w:t>
      </w:r>
      <w:r>
        <w:rPr>
          <w:rStyle w:val="CharStyle7"/>
        </w:rPr>
        <w:t xml:space="preserve">приложения к ПП РФ от </w:t>
      </w:r>
      <w:r>
        <w:rPr>
          <w:rStyle w:val="CharStyle7"/>
          <w:lang w:val="en-US" w:eastAsia="en-US"/>
        </w:rPr>
        <w:t xml:space="preserve">29.12.2021 № 2571, </w:t>
      </w:r>
      <w:r>
        <w:rPr>
          <w:rStyle w:val="CharStyle7"/>
        </w:rPr>
        <w:t xml:space="preserve">зарегистрированные оператором электронной площадке в рамках подтверждения наличия опыта по указанному пункту: Контракт </w:t>
      </w:r>
      <w:r>
        <w:rPr>
          <w:rStyle w:val="CharStyle7"/>
          <w:lang w:val="en-US" w:eastAsia="en-US"/>
        </w:rPr>
        <w:t xml:space="preserve">№ 0373100014524000185 </w:t>
      </w:r>
      <w:r>
        <w:rPr>
          <w:rStyle w:val="CharStyle7"/>
        </w:rPr>
        <w:t xml:space="preserve">на оказание услуг по комплексному техническому обслуживанию систем пожарной сигнализации, систем пожаротушения, оповещения людей о пожаре и управления эвакуацией, первичных средств пожаротушения ФГБУ «ГВКГ им. Н.Н.Бурденко» Минобороны России и Филиала </w:t>
      </w:r>
      <w:r>
        <w:rPr>
          <w:rStyle w:val="CharStyle7"/>
          <w:lang w:val="en-US" w:eastAsia="en-US"/>
        </w:rPr>
        <w:t xml:space="preserve">№ 7 </w:t>
      </w:r>
      <w:r>
        <w:rPr>
          <w:rStyle w:val="CharStyle7"/>
        </w:rPr>
        <w:t xml:space="preserve">ФГБУ «ГВКГ им. Н.Н.Бурденко» Минобороны России в </w:t>
      </w:r>
      <w:r>
        <w:rPr>
          <w:rStyle w:val="CharStyle7"/>
          <w:lang w:val="en-US" w:eastAsia="en-US"/>
        </w:rPr>
        <w:t xml:space="preserve">2024-2025 </w:t>
      </w:r>
      <w:r>
        <w:rPr>
          <w:rStyle w:val="CharStyle7"/>
        </w:rPr>
        <w:t xml:space="preserve">годах и документы, подтверждающие непосредственно его исполнение. Цена контракта </w:t>
      </w:r>
      <w:r>
        <w:rPr>
          <w:rStyle w:val="CharStyle7"/>
          <w:lang w:val="en-US" w:eastAsia="en-US"/>
        </w:rPr>
        <w:t xml:space="preserve">- 7033294,74 </w:t>
      </w:r>
      <w:r>
        <w:rPr>
          <w:rStyle w:val="CharStyle7"/>
        </w:rPr>
        <w:t xml:space="preserve">руб., дата исполнения </w:t>
      </w:r>
      <w:r>
        <w:rPr>
          <w:rStyle w:val="CharStyle7"/>
          <w:lang w:val="en-US" w:eastAsia="en-US"/>
        </w:rPr>
        <w:t>- 28.02.2025.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Из положений и определений Федерального закона от </w:t>
      </w:r>
      <w:r>
        <w:rPr>
          <w:rStyle w:val="CharStyle7"/>
          <w:lang w:val="en-US" w:eastAsia="en-US"/>
        </w:rPr>
        <w:t xml:space="preserve">30.12.2009 № </w:t>
      </w:r>
      <w:r>
        <w:rPr>
          <w:rStyle w:val="CharStyle7"/>
        </w:rPr>
        <w:t>384-ФЗ «Технический регламент о безопасности зданий и сооружений» следует, что техническое обслуживанию систем пожарной сигнализации, систем пожаротушения оповещения зданий относится к услугам по техническому обслуживанию зданий, сооружений, т.к. такие системы относятся к инженерным системам здания выполняющим функцию обеспечения безопасности.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Следовательно, представленный в заявке заявителем в качестве подтверждения соответствия дополнительным требованиям договор в полной мере подтверждает наличие у заявителя опыта выполнения работ, оказания услуг по техническому обслуживанию зданий, сооружений.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Заявителем был приложен контракт на оказание услуг по комплексному техническому обслуживанию систем пожарной сигнализации, систем пожаротушения, оповещения людей о пожаре и управления эвакуацией, первичных средств пожаротушения (Номер реестровой записи </w:t>
      </w:r>
      <w:r>
        <w:rPr>
          <w:rStyle w:val="CharStyle7"/>
          <w:lang w:val="en-US" w:eastAsia="en-US"/>
        </w:rPr>
        <w:t xml:space="preserve">0373100014524000185) </w:t>
      </w:r>
      <w:r>
        <w:rPr>
          <w:rStyle w:val="CharStyle7"/>
        </w:rPr>
        <w:t>однако, по мнению Заказчика, такой контракт подтверждает опыт обслуживания отдельных специализированных, слаботочных/противопожарных систем, но не подтверждает опыт комплексного технического обслуживания инженерных систем, зданий и помещений в целом. Обслуживание только противопожарных систем является узкоспециализированным и лицензированным видом услуг.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Таким образом, Комиссия Заказчика пришла к выводу, что предоставленный Участником Контракт не отвечает требованиям п.14 Приложения Постановления </w:t>
      </w:r>
      <w:r>
        <w:rPr>
          <w:rStyle w:val="CharStyle7"/>
          <w:lang w:val="en-US" w:eastAsia="en-US"/>
        </w:rPr>
        <w:t>№ 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Вместе с этим Комиссия Управления отмечает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положениям ч.1 ст.2 Федерального закона от </w:t>
      </w:r>
      <w:r>
        <w:rPr>
          <w:rStyle w:val="CharStyle7"/>
          <w:lang w:val="en-US" w:eastAsia="en-US"/>
        </w:rPr>
        <w:t xml:space="preserve">30.12.2009 № 384- </w:t>
      </w:r>
      <w:r>
        <w:rPr>
          <w:rStyle w:val="CharStyle7"/>
        </w:rPr>
        <w:t xml:space="preserve">ФЗ «Технический регламент о безопасности зданий и сооружений»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Технический регламент) в том числе определено: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здание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результат строительства, представляющий собой объемную строительную систему, имеющую надземную и (или) подземную части, включающую в себя помещения, сети инженерно-технического обеспечения и системы инженерно-технического обеспечения и предназначенную для проживания и (или) деятельности людей, размещения производства, хранения продукции или содержания животных;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система инженерно-технического обеспечения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одна из систем здания или сооружения, предназначенная для выполнения функций водоснабжения, канализации, отопления, вентиляции, кондиционирования воздуха, газоснабжения, электроснабжения, связи, информатизации, диспетчеризации, мусороудаления, вертикального транспорта (лифты, эскалаторы) или функций обеспечения безопасности.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ч.6 ст.55.24 Градостроительного кодекса Российской Федерации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ГрК РФ) в целях обеспечения безопасности зданий, сооружений в процессе их эксплуатации должны обеспечиваться техническое обслуживание зданий, сооружений, эксплуатационный контроль, текущий ремонт зданий, сооружений.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соответствии с ч.8 ст.55.24 ГрК РФ техническое обслуживание зданий, сооружений, текущий ремонт зданий, сооружений проводятся в целях обеспечения надлежащего технического состояния таких зданий, сооружений. Под надлежащим техническим состоянием зданий, сооружений понимаются поддержание параметров устойчивости, надежности зданий, сооружений, а также исправность строительных конструкций, систем инженерно-технического обеспечения, сетей инженерно-технического обеспечения, их элементов в соответствии с требованиями технических регламентов, проектной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7"/>
        </w:rPr>
        <w:t>документации.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Исходя из вышеизложенных положений законодательства следует, что под техническим обслуживанием зданий, сооружений, понимаются работы (услуги) по поддержанию параметров устойчивости, надежности зданий, сооружений, а также исправности строительных конструкций, систем инженерно-технического обеспечения, сетей инженерно-технического обеспечения, их элементов в соответствии с требованиями технических регламентов, проектной документации.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ч.6 ст.55.24 Градостроительного кодекса Российской Федерации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ГрК РФ) в целях обеспечения безопасности зданий, сооружений в процессе их эксплуатации должны обеспечиваться техническое обслуживание зданий, сооружений, эксплуатационный контроль, текущий ремонт зданий, сооружений.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соответствии с ч.8 ст.55.24 ГрК РФ техническое обслуживание зданий, сооружений, текущий ремонт зданий, сооружений проводятся в целях обеспечения надлежащего технического состояния таких зданий, сооружений. Под надлежащим техническим состоянием зданий, сооружений понимаются поддержание параметров устойчивости, надежности зданий, сооружений, а также исправность строительных конструкций, систем инженерно-технического обеспечения, сетей инженерно-технического обеспечения, их элементов в соответствии с требованиями технических регламентов, проектной документации.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Таким образом, исходя из системного анализа вышеуказанных положений, представляется возможным прийти к выводу, что под техническим обслуживанием понимается, в том числе, поддержание надлежащего технического состояния системы здания предназначенная для выполнения функций обеспечения безопасности, к которым 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>в том числе, относится система пожарной сигнализации, оповещения и управления эвакуацией людей, первичных средств пожаротушения.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Вместе с этим, как установлено Комиссией Управления, в рамках контракта Заявителем оказывалиись услуги по комплексному техническому обслуживанию систем пожарной сигнализации, систем пожаротушения, оповещения людей о пожаре и управления эвакуацией, первичных средств пожаротушения.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вышеизложенного Комиссия Управления приходит к выводу, что контракт соответствует установленному в извещении об осуществлении закупки дополнительному требованию, в связи с чем у комиссии о осуществлению закупок Заказчика не имелось оснований для отклонения заявки Заявителя ввиду чего решение комиссии по осуществлению закупок Заказчика об отклонении заявки Заявителя является неправомерным.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Таким образом, Комиссия Управления приходит к выводу, что решение комиссии Заказчика об отклонении заявки Заявителя является неправомерным и нарушает положения пп. «а» п.1 ч.5 ст.49 Закона о контрактной системе, что содержит признаки состава административного правонарушения, ответственность за которое предусмотрена ч. </w:t>
      </w:r>
      <w:r>
        <w:rPr>
          <w:rStyle w:val="CharStyle7"/>
          <w:lang w:val="en-US" w:eastAsia="en-US"/>
        </w:rPr>
        <w:t xml:space="preserve">7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7.30.1 </w:t>
      </w:r>
      <w:r>
        <w:rPr>
          <w:rStyle w:val="CharStyle7"/>
        </w:rPr>
        <w:t>Кодекса об административных правонарушениях Российской Федерации.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0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Признать жалобу ООО «Триумф» на действия комиссии по осуществлению закупок ГБУЗ «ДГП </w:t>
      </w:r>
      <w:r>
        <w:rPr>
          <w:rStyle w:val="CharStyle7"/>
          <w:lang w:val="en-US" w:eastAsia="en-US"/>
        </w:rPr>
        <w:t xml:space="preserve">№122 </w:t>
      </w:r>
      <w:r>
        <w:rPr>
          <w:rStyle w:val="CharStyle7"/>
        </w:rPr>
        <w:t>ДЗМ»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Признать в действиях Заказчика нарушение пп. «а» п.1 ч.5 ст.49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Обязательное для исполнения предписание об устранении нарушений законодательства об осуществлении закупок Заказчику не выдавать, поскольку предписание выдано ранее в рамках рассмотрения жалобы ООО «ЦСА» по делу </w:t>
      </w:r>
      <w:r>
        <w:rPr>
          <w:rStyle w:val="CharStyle7"/>
          <w:lang w:val="en-US" w:eastAsia="en-US"/>
        </w:rPr>
        <w:t xml:space="preserve">№ 077/06/105-6284/2026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18.05.2026. </w:t>
      </w:r>
      <w:r>
        <w:rPr>
          <w:rStyle w:val="CharStyle7"/>
        </w:rPr>
        <w:t>Кроме того при исполнении предписания по вышеуказанному делу Заказчику необходимо руководствоваться также позицией контролирующего органа, изложенной в настоящем решении.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956" w:right="534" w:bottom="855" w:left="109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192405" distL="0" distR="0" simplePos="0" relativeHeight="125829383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800000000000004pt;margin-top:10.pt;width:145.20000000000002pt;height:19.900000000000002pt;z-index:-125829370;mso-wrap-distance-left:0;mso-wrap-distance-top:10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7330" distB="635" distL="0" distR="1816735" simplePos="0" relativeHeight="125829385" behindDoc="0" locked="0" layoutInCell="1" allowOverlap="1">
            <wp:simplePos x="0" y="0"/>
            <wp:positionH relativeFrom="page">
              <wp:posOffset>3236595</wp:posOffset>
            </wp:positionH>
            <wp:positionV relativeFrom="paragraph">
              <wp:posOffset>227330</wp:posOffset>
            </wp:positionV>
            <wp:extent cx="298450" cy="34734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3626485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5.55000000000001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192405" distL="0" distR="0" simplePos="0" relativeHeight="125829386" behindDoc="0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127000</wp:posOffset>
                </wp:positionV>
                <wp:extent cx="113665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8.5pt;margin-top:10.pt;width:89.5pt;height:19.900000000000002pt;z-index:-125829367;mso-wrap-distance-left:0;mso-wrap-distance-top:10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680" w:right="0" w:firstLine="0"/>
        <w:jc w:val="left"/>
        <w:rPr>
          <w:sz w:val="12"/>
          <w:szCs w:val="12"/>
        </w:rPr>
      </w:pPr>
      <w:r>
        <w:rPr>
          <w:rStyle w:val="CharStyle16"/>
          <w:color w:val="FFFFFF"/>
          <w:sz w:val="12"/>
          <w:szCs w:val="12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Грешнева Дарья Сергеевна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  <w:color w:val="292929"/>
        </w:rPr>
        <w:t xml:space="preserve">Сертификат № </w:t>
      </w:r>
      <w:r>
        <w:rPr>
          <w:rStyle w:val="CharStyle19"/>
          <w:color w:val="5D5D5D"/>
        </w:rPr>
        <w:t>00831</w:t>
      </w:r>
      <w:r>
        <w:rPr>
          <w:rStyle w:val="CharStyle19"/>
          <w:lang w:val="en-US" w:eastAsia="en-US"/>
        </w:rPr>
        <w:t>B7545C61281C4BAB156778A683BFB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9"/>
        </w:rPr>
        <w:t xml:space="preserve">Действителен с </w:t>
      </w:r>
      <w:r>
        <w:rPr>
          <w:rStyle w:val="CharStyle19"/>
          <w:color w:val="292929"/>
        </w:rPr>
        <w:t xml:space="preserve">17.07.2025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56" w:right="532" w:bottom="91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8750" distB="0" distL="0" distR="0" simplePos="0" relativeHeight="125829388" behindDoc="0" locked="0" layoutInCell="1" allowOverlap="1">
                <wp:simplePos x="0" y="0"/>
                <wp:positionH relativeFrom="page">
                  <wp:posOffset>3627120</wp:posOffset>
                </wp:positionH>
                <wp:positionV relativeFrom="paragraph">
                  <wp:posOffset>158750</wp:posOffset>
                </wp:positionV>
                <wp:extent cx="1722120" cy="25908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5.60000000000002pt;margin-top:12.5pt;width:135.59999999999999pt;height:20.400000000000002pt;z-index:-12582936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67640" distL="0" distR="0" simplePos="0" relativeHeight="125829390" behindDoc="0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0</wp:posOffset>
                </wp:positionV>
                <wp:extent cx="111887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0.pt;margin-top:0;width:88.100000000000009pt;height:19.699999999999999pt;z-index:-125829363;mso-wrap-distance-left:0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М.О. Мацнева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680" w:right="0" w:firstLine="0"/>
        <w:jc w:val="left"/>
        <w:rPr>
          <w:sz w:val="12"/>
          <w:szCs w:val="12"/>
        </w:rPr>
      </w:pPr>
      <w:r>
        <w:rPr>
          <w:rStyle w:val="CharStyle16"/>
          <w:color w:val="FFFFFF"/>
          <w:sz w:val="12"/>
          <w:szCs w:val="12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Мацнева Мария Олеговна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00FDA1C988AAB27A9A34756B8D5F1D853</w:t>
      </w:r>
      <w:r>
        <w:rPr>
          <w:rStyle w:val="CharStyle19"/>
          <w:lang w:val="en-US" w:eastAsia="en-US"/>
        </w:rPr>
        <w:t>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9"/>
        </w:rPr>
        <w:t xml:space="preserve">Действителен с 22.07.2025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440"/>
        <w:jc w:val="left"/>
      </w:pPr>
      <w:r>
        <w:drawing>
          <wp:anchor distT="0" distB="0" distL="114300" distR="1931035" simplePos="0" relativeHeight="125829392" behindDoc="0" locked="0" layoutInCell="1" allowOverlap="1">
            <wp:simplePos x="0" y="0"/>
            <wp:positionH relativeFrom="page">
              <wp:posOffset>3236595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3626485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5.55000000000001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Гелмутдинова</w: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680" w:right="0" w:firstLine="0"/>
        <w:jc w:val="left"/>
        <w:rPr>
          <w:sz w:val="12"/>
          <w:szCs w:val="12"/>
        </w:rPr>
      </w:pPr>
      <w:r>
        <w:rPr>
          <w:rStyle w:val="CharStyle16"/>
          <w:color w:val="FFFFFF"/>
          <w:sz w:val="12"/>
          <w:szCs w:val="12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ГЕЛМУТДИНОВА АНАСТАСИЯ СЕРГЕЕВНА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</w:rPr>
        <w:t>723501СС21703599976371</w:t>
      </w:r>
      <w:r>
        <w:rPr>
          <w:rStyle w:val="CharStyle19"/>
          <w:lang w:val="en-US" w:eastAsia="en-US"/>
        </w:rPr>
        <w:t>4F5C652689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00" w:line="266" w:lineRule="auto"/>
        <w:ind w:right="0" w:firstLine="0"/>
        <w:jc w:val="left"/>
      </w:pPr>
      <w:r>
        <w:rPr>
          <w:rStyle w:val="CharStyle19"/>
        </w:rPr>
        <w:t xml:space="preserve">Действителен с 09.02.2026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05.05.2027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24"/>
        </w:rPr>
        <w:t>Исп.Гелмутдинова А.С.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56" w:right="532" w:bottom="91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734060</wp:posOffset>
              </wp:positionH>
              <wp:positionV relativeFrom="page">
                <wp:posOffset>10321290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2026-25590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800000000000004pt;margin-top:812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2026-25590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10247630</wp:posOffset>
              </wp:positionV>
              <wp:extent cx="734695" cy="7302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  <w:lang w:val="ru-RU" w:eastAsia="ru-RU"/>
                            </w:rPr>
                            <w:t>2026-25590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50000000000001pt;margin-top:806.89999999999998pt;width:57.850000000000001pt;height:5.7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  <w:lang w:val="ru-RU" w:eastAsia="ru-RU"/>
                      </w:rPr>
                      <w:t>2026-25590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3931920</wp:posOffset>
              </wp:positionH>
              <wp:positionV relativeFrom="page">
                <wp:posOffset>378460</wp:posOffset>
              </wp:positionV>
              <wp:extent cx="7620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60000000000002pt;margin-top:29.800000000000001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2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2">
    <w:name w:val="Header or footer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6">
    <w:name w:val="Body text (4)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4">
    <w:name w:val="Body text (5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1">
    <w:name w:val="Header or footer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5">
    <w:name w:val="Body text (4)"/>
    <w:basedOn w:val="Normal"/>
    <w:link w:val="CharStyle16"/>
    <w:pPr>
      <w:widowControl w:val="0"/>
      <w:shd w:val="clear" w:color="auto" w:fill="auto"/>
      <w:spacing w:after="50"/>
      <w:ind w:left="23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9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3">
    <w:name w:val="Body text (5)"/>
    <w:basedOn w:val="Normal"/>
    <w:link w:val="CharStyle24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