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9"/>
          <w:szCs w:val="19"/>
        </w:rPr>
      </w:pPr>
      <w:r>
        <w:rPr>
          <w:rStyle w:val="CharStyle9"/>
          <w:b/>
          <w:bCs/>
          <w:color w:val="476097"/>
          <w:sz w:val="19"/>
          <w:szCs w:val="19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9"/>
          <w:szCs w:val="19"/>
        </w:rPr>
      </w:pPr>
      <w:r>
        <w:rPr>
          <w:rStyle w:val="CharStyle9"/>
          <w:b/>
          <w:bCs/>
          <w:color w:val="476097"/>
          <w:sz w:val="19"/>
          <w:szCs w:val="19"/>
        </w:rPr>
        <w:t>Федеральной антимонопольной службы</w:t>
        <w:br/>
        <w:t>по Ростовской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пр. Ворошиловский, 2/2, офис 403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rStyle w:val="CharStyle6"/>
        </w:rPr>
        <w:t>г. Ростов-на-Дону, 344006</w:t>
        <w:br/>
        <w:t>тел. (863) 263-31-04, факс (863) 240-99-59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"mailto:to61@fas.gov.ru" </w:instrText>
      </w:r>
      <w:r>
        <w:fldChar w:fldCharType="separate"/>
      </w:r>
      <w:r>
        <w:rPr>
          <w:rStyle w:val="CharStyle6"/>
          <w:lang w:val="en-US" w:eastAsia="en-US"/>
        </w:rPr>
        <w:t>to61@fas.gov.ru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66" w:lineRule="auto"/>
        <w:ind w:left="0" w:right="0" w:firstLine="0"/>
        <w:jc w:val="left"/>
      </w:pPr>
      <w:r>
        <w:rPr>
          <w:rStyle w:val="CharStyle9"/>
          <w:color w:val="476097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</w:pPr>
      <w:r>
        <w:rPr>
          <w:rStyle w:val="CharStyle9"/>
          <w:color w:val="476097"/>
        </w:rPr>
        <w:t xml:space="preserve">На №  от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13"/>
          <w:b/>
          <w:bCs/>
        </w:rPr>
        <w:t>ПОПОВА НАДЕЖДА ИВАНОВНА</w:t>
      </w:r>
      <w:bookmarkEnd w:id="0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3"/>
          <w:b/>
          <w:bCs/>
        </w:rPr>
        <w:t>(далее — Заявитель)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344033, Ростовская область, г.о. город Ростовна-Дону, г Ростов-на-Дону, пер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5"/>
        </w:rPr>
        <w:t>Урицкого, д. 68а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3"/>
          <w:b/>
          <w:bCs/>
        </w:rPr>
        <w:t>МИНИСТЕРСТВО ЗДРАВООХРАНЕНИЯ</w:t>
      </w:r>
      <w:bookmarkEnd w:id="4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  <w:b/>
          <w:bCs/>
        </w:rPr>
        <w:t>РОСТОВСКОЙ ОБЛАСТИ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" w:name="bookmark7"/>
      <w:r>
        <w:rPr>
          <w:rStyle w:val="CharStyle13"/>
          <w:b/>
          <w:bCs/>
        </w:rPr>
        <w:t>(далее — Заказчик)</w:t>
      </w:r>
      <w:bookmarkEnd w:id="7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344029, Ростовская обл, Ростов-на-Дону г, ул. 1-й Конной армии, д.33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"mailto:farmupr11@donland.ru" </w:instrText>
      </w:r>
      <w:r>
        <w:fldChar w:fldCharType="separate"/>
      </w:r>
      <w:r>
        <w:rPr>
          <w:rStyle w:val="CharStyle15"/>
          <w:lang w:val="en-US" w:eastAsia="en-US"/>
        </w:rPr>
        <w:t>farmupr11@donland.ru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rStyle w:val="CharStyle13"/>
          <w:b/>
          <w:bCs/>
        </w:rPr>
        <w:t>РТС-ТЕНДЕР (далее — Оператор)</w:t>
      </w:r>
      <w:bookmarkEnd w:id="9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843" w:bottom="1217" w:left="1135" w:header="0" w:footer="3" w:gutter="0"/>
          <w:pgNumType w:start="1"/>
          <w:cols w:num="2" w:space="720" w:equalWidth="0">
            <w:col w:w="4066" w:space="1200"/>
            <w:col w:w="4656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5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3" w:right="0" w:bottom="12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1" w:name="bookmark11"/>
      <w:r>
        <w:rPr>
          <w:rStyle w:val="CharStyle13"/>
          <w:b/>
          <w:bCs/>
        </w:rPr>
        <w:t>РЕШЕНИЕ</w:t>
      </w:r>
      <w:bookmarkEnd w:id="11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3" w:name="bookmark13"/>
      <w:r>
        <w:rPr>
          <w:rStyle w:val="CharStyle13"/>
          <w:b/>
          <w:bCs/>
        </w:rPr>
        <w:t>по результатам рассмотрения дела</w:t>
        <w:br/>
        <w:t>№061/06/105-1655/2026</w:t>
      </w:r>
      <w:bookmarkEnd w:id="13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701040" cy="219710"/>
                <wp:wrapSquare wrapText="righ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104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18.05.2026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7.pt;margin-top:1.pt;width:55.200000000000003pt;height:17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18.05.2026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5"/>
        </w:rPr>
        <w:t>г. Ростов-на-Дону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60"/>
        <w:jc w:val="both"/>
      </w:pPr>
      <w:r>
        <w:rPr>
          <w:rStyle w:val="CharStyle15"/>
        </w:rPr>
        <w:t>Комиссия Управления Федеральной антимонопольной службы по Ростовской области (далее – Ростовское УФАС России, Комиссия) по контролю соблюдения законодательства в сфере закупок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6137275</wp:posOffset>
                </wp:positionH>
                <wp:positionV relativeFrom="paragraph">
                  <wp:posOffset>12700</wp:posOffset>
                </wp:positionV>
                <wp:extent cx="1090930" cy="570230"/>
                <wp:wrapSquare wrapText="bothSides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570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С.В. Батурин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В.Д. Кириленко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В.В. Земская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83.25pt;margin-top:1.pt;width:85.900000000000006pt;height:44.8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С.В. Батурин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В.Д. Кириленко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5"/>
                        </w:rPr>
                        <w:t>В.В. Земская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5"/>
        </w:rPr>
        <w:t>Председатель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760"/>
        <w:jc w:val="both"/>
      </w:pPr>
      <w:r>
        <w:rPr>
          <w:rStyle w:val="CharStyle15"/>
        </w:rPr>
        <w:t>рассмотрев дело №061/06/105-1655/2026 по жалобе ИП Поповой Н.И. о нарушении аукционной комиссией Министерства здравоохранения Ростовской области (далее — Заказчик) при проведении электронного аукциона №0158200001326000606 «Закупка специализированных продуктов лечебного питания для обеспечения граждан Российской Федерации, проживающих на территории Ростовской области и имеющих право на получение лекарственных препаратов медицинских изделий, а также специализированных продуктов лечебного питания в соответствии с Федеральным законом от 21.11.2011 №323-ФЗ «Об основах охраны здоровья граждан в Российской Федерации»для субъектов малого предпринимательства и социально</w:t>
        <w:softHyphen/>
        <w:t>ориентированных организаций (Специализированный продукт лечебного питания)» (далее – Аукцион)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Закон), путем использования системы видеоконференц-связи (ВКС) в присутствии представителя Заказчика – Швецовой И.В. (доверенность от 12.01.2026), при участии представителя Заявителя – Дубравиной М.Д. (доверенность от 15.05.2026),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5" w:name="bookmark15"/>
      <w:r>
        <w:rPr>
          <w:rStyle w:val="CharStyle20"/>
        </w:rPr>
        <w:t>1IIIIIIIIIIIIIIIIIIIIIII</w:t>
      </w:r>
      <w:bookmarkEnd w:id="15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7" w:name="bookmark17"/>
      <w:r>
        <w:rPr>
          <w:rStyle w:val="CharStyle13"/>
          <w:b/>
          <w:bCs/>
        </w:rPr>
        <w:t>УСТАНОВИЛА</w:t>
      </w:r>
      <w:bookmarkEnd w:id="17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Ростовское УФАС России поступила жалоба Заявителя на действия аукционной комиссии Министерства здравоохранения Ростовской области. Заказчик в возражениях на жалобу: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отрицал нарушение Закона в действиях аукционной комиссии;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5"/>
        </w:rPr>
        <w:t>представил пояснения по доводам жалобы.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соответствии с ч.ч.1,3 ст.99 Закона в ходе рассмотрения дела установлено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Заказчиком в Единой информационной системе (ЕИС) на официальном сайте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5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5"/>
          <w:lang w:val="en-US" w:eastAsia="en-US"/>
        </w:rPr>
        <w:t xml:space="preserve"> 21.04.2026 </w:t>
      </w:r>
      <w:r>
        <w:rPr>
          <w:rStyle w:val="CharStyle15"/>
        </w:rPr>
        <w:t xml:space="preserve">размещено извещение о проведении закупки </w:t>
      </w:r>
      <w:r>
        <w:rPr>
          <w:rStyle w:val="CharStyle15"/>
          <w:lang w:val="en-US" w:eastAsia="en-US"/>
        </w:rPr>
        <w:t xml:space="preserve">№0158200001326000606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Извещение), </w:t>
      </w:r>
      <w:r>
        <w:rPr>
          <w:rStyle w:val="CharStyle15"/>
          <w:lang w:val="en-US" w:eastAsia="en-US"/>
        </w:rPr>
        <w:t xml:space="preserve">27.04.2026 </w:t>
      </w:r>
      <w:r>
        <w:rPr>
          <w:rStyle w:val="CharStyle15"/>
        </w:rPr>
        <w:t>в извещение внесены изменений согласно которым: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установлены дата и время окончания подачи заявок </w:t>
      </w:r>
      <w:r>
        <w:rPr>
          <w:rStyle w:val="CharStyle15"/>
          <w:lang w:val="en-US" w:eastAsia="en-US"/>
        </w:rPr>
        <w:t xml:space="preserve">– 05.05.2026 10:00 </w:t>
      </w:r>
      <w:r>
        <w:rPr>
          <w:rStyle w:val="CharStyle15"/>
        </w:rPr>
        <w:t>(МСК);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максимальное значение цены контракта составило </w:t>
      </w:r>
      <w:r>
        <w:rPr>
          <w:rStyle w:val="CharStyle15"/>
          <w:lang w:val="en-US" w:eastAsia="en-US"/>
        </w:rPr>
        <w:t xml:space="preserve">2 842 142,06 </w:t>
      </w:r>
      <w:r>
        <w:rPr>
          <w:rStyle w:val="CharStyle15"/>
        </w:rPr>
        <w:t>руб.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протоколом подведения итогов определения поставщика (подрядчика исполнителя) от </w:t>
      </w:r>
      <w:r>
        <w:rPr>
          <w:rStyle w:val="CharStyle15"/>
          <w:lang w:val="en-US" w:eastAsia="en-US"/>
        </w:rPr>
        <w:t xml:space="preserve">07.05.2026 </w:t>
      </w:r>
      <w:r>
        <w:rPr>
          <w:rStyle w:val="CharStyle15"/>
        </w:rPr>
        <w:t xml:space="preserve">№ИЭА1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Протокол) на участие подано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>(четыре) заявки, все заявки признаны соответствующими требованиям Закона и Извещения.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доводам жалобы, аукционной комиссией Заказчика неправомерно допущена заявка </w:t>
      </w:r>
      <w:r>
        <w:rPr>
          <w:rStyle w:val="CharStyle15"/>
          <w:lang w:val="en-US" w:eastAsia="en-US"/>
        </w:rPr>
        <w:t>№121120650.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На основании ч.5 ст.49 Закона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члены комиссии по осуществлению закупок: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а)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</w:t>
      </w:r>
      <w:r>
        <w:rPr>
          <w:rStyle w:val="CharStyle15"/>
          <w:lang w:val="en-US" w:eastAsia="en-US"/>
        </w:rPr>
        <w:t xml:space="preserve">1 - 8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соответствии с ч.12 ст.48 Закона,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настоящего Федерального закона), </w:t>
      </w:r>
      <w:r>
        <w:rPr>
          <w:rStyle w:val="CharStyle15"/>
          <w:u w:val="single"/>
        </w:rPr>
        <w:t>несоответствия таких информации и документов требованиям установленным в извещении об осуществлении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2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5"/>
        </w:rPr>
        <w:t>выявления недостоверной информации, содержащейся в заявке на участие в закупке.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96" w:right="0" w:firstLine="0"/>
        <w:jc w:val="left"/>
      </w:pPr>
      <w:r>
        <w:rPr>
          <w:rStyle w:val="CharStyle23"/>
        </w:rPr>
        <w:t>Описанием объекта закупки установлены следующие характеристики закупаемого товара:</w:t>
      </w:r>
    </w:p>
    <w:tbl>
      <w:tblPr>
        <w:tblOverlap w:val="never"/>
        <w:jc w:val="center"/>
        <w:tblLayout w:type="fixed"/>
      </w:tblPr>
      <w:tblGrid>
        <w:gridCol w:w="4896"/>
        <w:gridCol w:w="5323"/>
      </w:tblGrid>
      <w:tr>
        <w:trPr>
          <w:trHeight w:val="3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5"/>
                <w:b/>
                <w:bCs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5"/>
                <w:b/>
                <w:bCs/>
                <w:sz w:val="18"/>
                <w:szCs w:val="18"/>
              </w:rPr>
              <w:t>Значение характеристики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</w:rPr>
              <w:t>Форма выпуска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</w:rPr>
              <w:t>Сухая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</w:rPr>
              <w:t xml:space="preserve">Углеводы, г (состав из расчета на </w:t>
            </w:r>
            <w:r>
              <w:rPr>
                <w:rStyle w:val="CharStyle25"/>
                <w:sz w:val="18"/>
                <w:szCs w:val="18"/>
                <w:lang w:val="en-US" w:eastAsia="en-US"/>
              </w:rPr>
              <w:t xml:space="preserve">100 </w:t>
            </w:r>
            <w:r>
              <w:rPr>
                <w:rStyle w:val="CharStyle25"/>
                <w:sz w:val="18"/>
                <w:szCs w:val="18"/>
              </w:rPr>
              <w:t>г сухой смеси)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  <w:lang w:val="en-US" w:eastAsia="en-US"/>
              </w:rPr>
              <w:t xml:space="preserve">≥ 56 </w:t>
            </w:r>
            <w:r>
              <w:rPr>
                <w:rStyle w:val="CharStyle25"/>
                <w:sz w:val="18"/>
                <w:szCs w:val="18"/>
              </w:rPr>
              <w:t xml:space="preserve">и </w:t>
            </w:r>
            <w:r>
              <w:rPr>
                <w:rStyle w:val="CharStyle25"/>
                <w:sz w:val="18"/>
                <w:szCs w:val="18"/>
                <w:lang w:val="en-US" w:eastAsia="en-US"/>
              </w:rPr>
              <w:t>≤ 56.7</w:t>
            </w:r>
          </w:p>
        </w:tc>
      </w:tr>
      <w:tr>
        <w:trPr>
          <w:trHeight w:val="4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</w:rPr>
              <w:t xml:space="preserve">Энергетическая ценность (состав из расчета на </w:t>
            </w:r>
            <w:r>
              <w:rPr>
                <w:rStyle w:val="CharStyle25"/>
                <w:sz w:val="18"/>
                <w:szCs w:val="18"/>
                <w:lang w:val="en-US" w:eastAsia="en-US"/>
              </w:rPr>
              <w:t xml:space="preserve">100 </w:t>
            </w:r>
            <w:r>
              <w:rPr>
                <w:rStyle w:val="CharStyle25"/>
                <w:sz w:val="18"/>
                <w:szCs w:val="18"/>
              </w:rPr>
              <w:t>г сухой смеси)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  <w:lang w:val="en-US" w:eastAsia="en-US"/>
              </w:rPr>
              <w:t xml:space="preserve">1992 – 2108 </w:t>
            </w:r>
            <w:r>
              <w:rPr>
                <w:rStyle w:val="CharStyle25"/>
                <w:sz w:val="18"/>
                <w:szCs w:val="18"/>
              </w:rPr>
              <w:t xml:space="preserve">кДж/ </w:t>
            </w:r>
            <w:r>
              <w:rPr>
                <w:rStyle w:val="CharStyle25"/>
                <w:sz w:val="18"/>
                <w:szCs w:val="18"/>
                <w:lang w:val="en-US" w:eastAsia="en-US"/>
              </w:rPr>
              <w:t xml:space="preserve">457 – 503 </w:t>
            </w:r>
            <w:r>
              <w:rPr>
                <w:rStyle w:val="CharStyle25"/>
                <w:sz w:val="18"/>
                <w:szCs w:val="18"/>
              </w:rPr>
              <w:t>ккал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</w:rPr>
              <w:t xml:space="preserve">Белки, г (состав из расчета на </w:t>
            </w:r>
            <w:r>
              <w:rPr>
                <w:rStyle w:val="CharStyle25"/>
                <w:sz w:val="18"/>
                <w:szCs w:val="18"/>
                <w:lang w:val="en-US" w:eastAsia="en-US"/>
              </w:rPr>
              <w:t xml:space="preserve">100 </w:t>
            </w:r>
            <w:r>
              <w:rPr>
                <w:rStyle w:val="CharStyle25"/>
                <w:sz w:val="18"/>
                <w:szCs w:val="18"/>
              </w:rPr>
              <w:t>г сухой смеси)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  <w:lang w:val="en-US" w:eastAsia="en-US"/>
              </w:rPr>
              <w:t xml:space="preserve">≥ 12.9 </w:t>
            </w:r>
            <w:r>
              <w:rPr>
                <w:rStyle w:val="CharStyle25"/>
                <w:sz w:val="18"/>
                <w:szCs w:val="18"/>
              </w:rPr>
              <w:t xml:space="preserve">и </w:t>
            </w:r>
            <w:r>
              <w:rPr>
                <w:rStyle w:val="CharStyle25"/>
                <w:sz w:val="18"/>
                <w:szCs w:val="18"/>
                <w:lang w:val="en-US" w:eastAsia="en-US"/>
              </w:rPr>
              <w:t>≤ 13.3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</w:rPr>
              <w:t>Возрастная группа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b/>
                <w:bCs/>
                <w:sz w:val="18"/>
                <w:szCs w:val="18"/>
                <w:u w:val="single"/>
              </w:rPr>
              <w:t xml:space="preserve">от </w:t>
            </w:r>
            <w:r>
              <w:rPr>
                <w:rStyle w:val="CharStyle25"/>
                <w:b/>
                <w:bCs/>
                <w:sz w:val="18"/>
                <w:szCs w:val="18"/>
                <w:u w:val="single"/>
                <w:lang w:val="en-US" w:eastAsia="en-US"/>
              </w:rPr>
              <w:t xml:space="preserve">1 </w:t>
            </w:r>
            <w:r>
              <w:rPr>
                <w:rStyle w:val="CharStyle25"/>
                <w:b/>
                <w:bCs/>
                <w:sz w:val="18"/>
                <w:szCs w:val="18"/>
                <w:u w:val="single"/>
              </w:rPr>
              <w:t>года жизни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</w:rPr>
              <w:t xml:space="preserve">Жиры, г (состав из расчета на </w:t>
            </w:r>
            <w:r>
              <w:rPr>
                <w:rStyle w:val="CharStyle25"/>
                <w:sz w:val="18"/>
                <w:szCs w:val="18"/>
                <w:lang w:val="en-US" w:eastAsia="en-US"/>
              </w:rPr>
              <w:t xml:space="preserve">100 </w:t>
            </w:r>
            <w:r>
              <w:rPr>
                <w:rStyle w:val="CharStyle25"/>
                <w:sz w:val="18"/>
                <w:szCs w:val="18"/>
              </w:rPr>
              <w:t>г сухой смеси)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  <w:lang w:val="en-US" w:eastAsia="en-US"/>
              </w:rPr>
              <w:t xml:space="preserve">≥ 22 </w:t>
            </w:r>
            <w:r>
              <w:rPr>
                <w:rStyle w:val="CharStyle25"/>
                <w:sz w:val="18"/>
                <w:szCs w:val="18"/>
              </w:rPr>
              <w:t xml:space="preserve">и </w:t>
            </w:r>
            <w:r>
              <w:rPr>
                <w:rStyle w:val="CharStyle25"/>
                <w:sz w:val="18"/>
                <w:szCs w:val="18"/>
                <w:lang w:val="en-US" w:eastAsia="en-US"/>
              </w:rPr>
              <w:t>≤ 25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</w:rPr>
              <w:t xml:space="preserve">Пищевые волокна, г (состав из расчета на </w:t>
            </w:r>
            <w:r>
              <w:rPr>
                <w:rStyle w:val="CharStyle25"/>
                <w:sz w:val="18"/>
                <w:szCs w:val="18"/>
                <w:lang w:val="en-US" w:eastAsia="en-US"/>
              </w:rPr>
              <w:t xml:space="preserve">100 </w:t>
            </w:r>
            <w:r>
              <w:rPr>
                <w:rStyle w:val="CharStyle25"/>
                <w:sz w:val="18"/>
                <w:szCs w:val="18"/>
              </w:rPr>
              <w:t>г сухой смеси)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  <w:lang w:val="en-US" w:eastAsia="en-US"/>
              </w:rPr>
              <w:t>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Комиссия Ростовского УФАС России, обозрев поданные на участие в закупке заявки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составе заявки </w:t>
      </w:r>
      <w:r>
        <w:rPr>
          <w:rStyle w:val="CharStyle15"/>
          <w:lang w:val="en-US" w:eastAsia="en-US"/>
        </w:rPr>
        <w:t xml:space="preserve">№121120650 </w:t>
      </w:r>
      <w:r>
        <w:rPr>
          <w:rStyle w:val="CharStyle15"/>
        </w:rPr>
        <w:t>на участие в закупке предложен товар: «</w:t>
      </w:r>
      <w:r>
        <w:rPr>
          <w:rStyle w:val="CharStyle15"/>
          <w:i/>
          <w:iCs/>
        </w:rPr>
        <w:t xml:space="preserve">Смесь энтеральная, </w:t>
      </w:r>
      <w:r>
        <w:rPr>
          <w:rStyle w:val="CharStyle15"/>
          <w:i/>
          <w:iCs/>
          <w:lang w:val="en-US" w:eastAsia="en-US"/>
        </w:rPr>
        <w:t>10.86.10.191-00000002, 10.86.10.940, NUTRILAK</w:t>
      </w:r>
      <w:r>
        <w:rPr>
          <w:rStyle w:val="CharStyle15"/>
          <w:lang w:val="en-US" w:eastAsia="en-US"/>
        </w:rPr>
        <w:t xml:space="preserve">», </w:t>
      </w:r>
      <w:r>
        <w:rPr>
          <w:rStyle w:val="CharStyle15"/>
        </w:rPr>
        <w:t>указана характеристика товара: «</w:t>
      </w:r>
      <w:r>
        <w:rPr>
          <w:rStyle w:val="CharStyle15"/>
          <w:i/>
          <w:iCs/>
        </w:rPr>
        <w:t xml:space="preserve">Возрастная группа </w:t>
      </w:r>
      <w:r>
        <w:rPr>
          <w:rStyle w:val="CharStyle15"/>
          <w:i/>
          <w:iCs/>
          <w:lang w:val="en-US" w:eastAsia="en-US"/>
        </w:rPr>
        <w:t xml:space="preserve">- </w:t>
      </w:r>
      <w:r>
        <w:rPr>
          <w:rStyle w:val="CharStyle15"/>
          <w:b/>
          <w:bCs/>
          <w:i/>
          <w:iCs/>
        </w:rPr>
        <w:t xml:space="preserve">от </w:t>
      </w:r>
      <w:r>
        <w:rPr>
          <w:rStyle w:val="CharStyle15"/>
          <w:b/>
          <w:bCs/>
          <w:i/>
          <w:iCs/>
          <w:lang w:val="en-US" w:eastAsia="en-US"/>
        </w:rPr>
        <w:t xml:space="preserve">1 </w:t>
      </w:r>
      <w:r>
        <w:rPr>
          <w:rStyle w:val="CharStyle15"/>
          <w:b/>
          <w:bCs/>
          <w:i/>
          <w:iCs/>
        </w:rPr>
        <w:t>года жизни»,</w:t>
      </w:r>
      <w:r>
        <w:rPr>
          <w:rStyle w:val="CharStyle15"/>
        </w:rPr>
        <w:t xml:space="preserve"> а также приложено свидетельство о государственной продукции </w:t>
      </w:r>
      <w:r>
        <w:rPr>
          <w:rStyle w:val="CharStyle15"/>
          <w:lang w:val="en-US" w:eastAsia="en-US"/>
        </w:rPr>
        <w:t xml:space="preserve">№RU.77.99.32.005.R.002094.06.21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21.06.2021, </w:t>
      </w:r>
      <w:r>
        <w:rPr>
          <w:rStyle w:val="CharStyle15"/>
        </w:rPr>
        <w:t xml:space="preserve">которым установлена область применения: для диетического лечебного питания детей </w:t>
      </w:r>
      <w:r>
        <w:rPr>
          <w:rStyle w:val="CharStyle15"/>
          <w:b/>
          <w:bCs/>
        </w:rPr>
        <w:t>с первых дней жизни</w:t>
      </w:r>
      <w:r>
        <w:rPr>
          <w:rStyle w:val="CharStyle15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5"/>
        </w:rPr>
        <w:t xml:space="preserve">На основании изложенного, Комиссия Ростовского УФАС России пришла к выводу о том что при признании заявки </w:t>
      </w:r>
      <w:r>
        <w:rPr>
          <w:rStyle w:val="CharStyle15"/>
          <w:lang w:val="en-US" w:eastAsia="en-US"/>
        </w:rPr>
        <w:t xml:space="preserve">№121120650 </w:t>
      </w:r>
      <w:r>
        <w:rPr>
          <w:rStyle w:val="CharStyle15"/>
        </w:rPr>
        <w:t>соответствующей аукционная комиссия Заказчика действовала в нарушение ч.5 ст.49 Закона, поскольку предложенный в заявке товар не соответствует описанию объекта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5"/>
        </w:rPr>
        <w:t xml:space="preserve">На основании Постановления Правительства РФ от 26.08.2013г. </w:t>
      </w:r>
      <w:r>
        <w:rPr>
          <w:rStyle w:val="CharStyle15"/>
          <w:lang w:val="en-US" w:eastAsia="en-US"/>
        </w:rPr>
        <w:t xml:space="preserve">№728, </w:t>
      </w:r>
      <w:r>
        <w:rPr>
          <w:rStyle w:val="CharStyle15"/>
        </w:rPr>
        <w:t>в соответствии с ч.15 ст.99, ч.8 ст.106 Закона,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9" w:name="bookmark19"/>
      <w:r>
        <w:rPr>
          <w:rStyle w:val="CharStyle13"/>
          <w:b/>
          <w:bCs/>
        </w:rPr>
        <w:t>РЕШИЛА:</w:t>
      </w:r>
      <w:bookmarkEnd w:id="19"/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7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Признать жалобу ИП Поповой Н.И. 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7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Признать аукционную комиссию Заказчика нарушившей ч.5 ст.49 Закона.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Выдать Заказчику, комиссии Заказчика обязательное для исполнения предписание об устранении допущенных нарушений путем отмены сформированных протоколов, внесении изменений в извещение согласно нормам Закона и с учетом настоящего решения.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5"/>
        </w:rPr>
        <w:t>Рассмотреть вопрос о привлечении виновных должностных лиц Заказчика к административной ответственности.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720"/>
        <w:jc w:val="both"/>
      </w:pPr>
      <w:r>
        <w:rPr>
          <w:rStyle w:val="CharStyle9"/>
        </w:rPr>
        <w:t>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79400" distB="0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279400</wp:posOffset>
                </wp:positionV>
                <wp:extent cx="1569720" cy="210185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050000000000004pt;margin-top:22.pt;width:123.60000000000001pt;height:16.550000000000001pt;z-index:-125829371;mso-wrap-distance-left:0;mso-wrap-distance-top:22.pt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8840" w:right="0" w:firstLine="0"/>
        <w:jc w:val="both"/>
      </w:pPr>
      <w:r>
        <w:rPr>
          <w:rStyle w:val="CharStyle15"/>
        </w:rPr>
        <w:t>С.В. Батурин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460" w:line="240" w:lineRule="auto"/>
        <w:ind w:left="8560" w:right="0" w:firstLine="0"/>
        <w:jc w:val="both"/>
      </w:pPr>
      <w:r>
        <w:rPr>
          <w:rStyle w:val="CharStyle15"/>
        </w:rPr>
        <w:t>В.Д. Кириленко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2240" w:right="0" w:firstLine="0"/>
        <w:jc w:val="both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2621280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3112135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b/>
                                <w:bCs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5.05000000000001pt;margin-top:36.550000000000004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b/>
                          <w:bCs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41.90000000000001pt;margin-top:11.6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В.В. Земская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3"/>
        </w:rPr>
        <w:t xml:space="preserve">Кому </w:t>
      </w:r>
      <w:r>
        <w:rPr>
          <w:rStyle w:val="CharStyle33"/>
          <w:color w:val="535353"/>
        </w:rPr>
        <w:t xml:space="preserve">выдан: </w:t>
      </w:r>
      <w:r>
        <w:rPr>
          <w:rStyle w:val="CharStyle33"/>
          <w:color w:val="000000"/>
        </w:rPr>
        <w:t>Земская Валентина Владимировна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3"/>
        </w:rPr>
        <w:t xml:space="preserve">Сертификат </w:t>
      </w:r>
      <w:r>
        <w:rPr>
          <w:rStyle w:val="CharStyle33"/>
          <w:color w:val="292929"/>
        </w:rPr>
        <w:t xml:space="preserve">№ </w:t>
      </w:r>
      <w:r>
        <w:rPr>
          <w:rStyle w:val="CharStyle33"/>
          <w:lang w:val="en-US" w:eastAsia="en-US"/>
        </w:rPr>
        <w:t>0093755A301014C0D6729A198BF030830B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right="0" w:firstLine="0"/>
        <w:jc w:val="both"/>
      </w:pPr>
      <w:r>
        <w:rPr>
          <w:rStyle w:val="CharStyle33"/>
        </w:rPr>
        <w:t xml:space="preserve">Действителен с 15.05.2026 </w:t>
      </w:r>
      <w:r>
        <w:rPr>
          <w:rStyle w:val="CharStyle33"/>
          <w:color w:val="535353"/>
        </w:rPr>
        <w:t>по 08.08.2027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9"/>
        </w:rPr>
        <w:t>Исп.Земская В.В. тел.240-86-88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93" w:right="526" w:bottom="1203" w:left="108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716280</wp:posOffset>
              </wp:positionH>
              <wp:positionV relativeFrom="page">
                <wp:posOffset>10019030</wp:posOffset>
              </wp:positionV>
              <wp:extent cx="661670" cy="10985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2026-8416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399999999999999pt;margin-top:788.89999999999998pt;width:52.10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2026-8416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61670" cy="10985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2026-8416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775.70000000000005pt;width:52.10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2026-8416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8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9">
    <w:name w:val="Body text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Heading #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3">
    <w:name w:val="Table caption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5">
    <w:name w:val="Other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3">
    <w:name w:val="Body text (4)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7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8">
    <w:name w:val="Body text (2)"/>
    <w:basedOn w:val="Normal"/>
    <w:link w:val="CharStyle9"/>
    <w:pPr>
      <w:widowControl w:val="0"/>
      <w:shd w:val="clear" w:color="auto" w:fill="auto"/>
      <w:spacing w:after="200"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spacing w:after="3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2">
    <w:name w:val="Table caption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4">
    <w:name w:val="Other"/>
    <w:basedOn w:val="Normal"/>
    <w:link w:val="CharStyle2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32">
    <w:name w:val="Body text (4)"/>
    <w:basedOn w:val="Normal"/>
    <w:link w:val="CharStyle33"/>
    <w:pPr>
      <w:widowControl w:val="0"/>
      <w:shd w:val="clear" w:color="auto" w:fill="auto"/>
      <w:spacing w:after="410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