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4750" distR="1120775" simplePos="0" relativeHeight="125829378" behindDoc="0" locked="0" layoutInCell="1" allowOverlap="1">
            <wp:simplePos x="0" y="0"/>
            <wp:positionH relativeFrom="page">
              <wp:posOffset>1785620</wp:posOffset>
            </wp:positionH>
            <wp:positionV relativeFrom="paragraph">
              <wp:posOffset>12700</wp:posOffset>
            </wp:positionV>
            <wp:extent cx="51816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r>
        <mc:AlternateContent>
          <mc:Choice Requires="wps">
            <w:drawing>
              <wp:anchor distT="717550" distB="0" distL="114300" distR="114300" simplePos="0" relativeHeight="125829379" behindDoc="0" locked="0" layoutInCell="1" allowOverlap="1">
                <wp:simplePos x="0" y="0"/>
                <wp:positionH relativeFrom="page">
                  <wp:posOffset>725170</wp:posOffset>
                </wp:positionH>
                <wp:positionV relativeFrom="paragraph">
                  <wp:posOffset>730250</wp:posOffset>
                </wp:positionV>
                <wp:extent cx="2581910" cy="2056130"/>
                <wp:wrapSquare wrapText="right"/>
                <wp:docPr id="3" name="Shape 3"/>
                <a:graphic xmlns:a="http://schemas.openxmlformats.org/drawingml/2006/main">
                  <a:graphicData uri="http://schemas.microsoft.com/office/word/2010/wordprocessingShape">
                    <wps:wsp>
                      <wps:cNvSpPr txBox="1"/>
                      <wps:spPr>
                        <a:xfrm>
                          <a:ext cx="2581910" cy="2056130"/>
                        </a:xfrm>
                        <a:prstGeom prst="rect"/>
                        <a:noFill/>
                      </wps:spPr>
                      <wps:txbx>
                        <w:txbxContent>
                          <w:p>
                            <w:pPr>
                              <w:pStyle w:val="Style2"/>
                              <w:keepNext w:val="0"/>
                              <w:keepLines w:val="0"/>
                              <w:widowControl w:val="0"/>
                              <w:shd w:val="clear" w:color="auto" w:fill="auto"/>
                              <w:bidi w:val="0"/>
                              <w:spacing w:before="0" w:after="120" w:line="310" w:lineRule="auto"/>
                              <w:ind w:left="0" w:right="0" w:firstLine="0"/>
                              <w:jc w:val="center"/>
                            </w:pPr>
                            <w:r>
                              <w:rPr>
                                <w:rStyle w:val="CharStyle3"/>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4" w:val="left"/>
                                <w:tab w:leader="underscore" w:pos="3926" w:val="left"/>
                              </w:tabs>
                              <w:bidi w:val="0"/>
                              <w:spacing w:before="0" w:after="240" w:line="262" w:lineRule="auto"/>
                              <w:ind w:left="0" w:right="0" w:firstLine="0"/>
                              <w:jc w:val="center"/>
                              <w:rPr>
                                <w:sz w:val="18"/>
                                <w:szCs w:val="18"/>
                              </w:rPr>
                            </w:pPr>
                            <w:r>
                              <w:rPr>
                                <w:rStyle w:val="CharStyle6"/>
                                <w:sz w:val="18"/>
                                <w:szCs w:val="18"/>
                              </w:rPr>
                              <w:tab/>
                              <w:t xml:space="preserve"> №</w:t>
                              <w:tab/>
                            </w:r>
                          </w:p>
                          <w:p>
                            <w:pPr>
                              <w:pStyle w:val="Style5"/>
                              <w:keepNext w:val="0"/>
                              <w:keepLines w:val="0"/>
                              <w:widowControl w:val="0"/>
                              <w:shd w:val="clear" w:color="auto" w:fill="auto"/>
                              <w:bidi w:val="0"/>
                              <w:spacing w:before="0" w:after="220" w:line="262" w:lineRule="auto"/>
                              <w:ind w:left="0" w:right="0" w:firstLine="0"/>
                              <w:jc w:val="center"/>
                              <w:rPr>
                                <w:sz w:val="18"/>
                                <w:szCs w:val="18"/>
                              </w:rPr>
                            </w:pPr>
                            <w:r>
                              <w:rPr>
                                <w:rStyle w:val="CharStyle6"/>
                                <w:sz w:val="18"/>
                                <w:szCs w:val="18"/>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57.5pt;width:203.30000000000001pt;height:161.90000000000001pt;z-index:-125829374;mso-wrap-distance-left:9.pt;mso-wrap-distance-top:56.5pt;mso-wrap-distance-right:9.pt;mso-position-horizontal-relative:page" filled="f" stroked="f">
                <v:textbox inset="0,0,0,0">
                  <w:txbxContent>
                    <w:p>
                      <w:pPr>
                        <w:pStyle w:val="Style2"/>
                        <w:keepNext w:val="0"/>
                        <w:keepLines w:val="0"/>
                        <w:widowControl w:val="0"/>
                        <w:shd w:val="clear" w:color="auto" w:fill="auto"/>
                        <w:bidi w:val="0"/>
                        <w:spacing w:before="0" w:after="120" w:line="310" w:lineRule="auto"/>
                        <w:ind w:left="0" w:right="0" w:firstLine="0"/>
                        <w:jc w:val="center"/>
                      </w:pPr>
                      <w:r>
                        <w:rPr>
                          <w:rStyle w:val="CharStyle3"/>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4" w:val="left"/>
                          <w:tab w:leader="underscore" w:pos="3926" w:val="left"/>
                        </w:tabs>
                        <w:bidi w:val="0"/>
                        <w:spacing w:before="0" w:after="240" w:line="262" w:lineRule="auto"/>
                        <w:ind w:left="0" w:right="0" w:firstLine="0"/>
                        <w:jc w:val="center"/>
                        <w:rPr>
                          <w:sz w:val="18"/>
                          <w:szCs w:val="18"/>
                        </w:rPr>
                      </w:pPr>
                      <w:r>
                        <w:rPr>
                          <w:rStyle w:val="CharStyle6"/>
                          <w:sz w:val="18"/>
                          <w:szCs w:val="18"/>
                        </w:rPr>
                        <w:tab/>
                        <w:t xml:space="preserve"> №</w:t>
                        <w:tab/>
                      </w:r>
                    </w:p>
                    <w:p>
                      <w:pPr>
                        <w:pStyle w:val="Style5"/>
                        <w:keepNext w:val="0"/>
                        <w:keepLines w:val="0"/>
                        <w:widowControl w:val="0"/>
                        <w:shd w:val="clear" w:color="auto" w:fill="auto"/>
                        <w:bidi w:val="0"/>
                        <w:spacing w:before="0" w:after="220" w:line="262" w:lineRule="auto"/>
                        <w:ind w:left="0" w:right="0" w:firstLine="0"/>
                        <w:jc w:val="center"/>
                        <w:rPr>
                          <w:sz w:val="18"/>
                          <w:szCs w:val="18"/>
                        </w:rPr>
                      </w:pPr>
                      <w:r>
                        <w:rPr>
                          <w:rStyle w:val="CharStyle6"/>
                          <w:sz w:val="18"/>
                          <w:szCs w:val="18"/>
                        </w:rPr>
                        <w:t xml:space="preserve">На№  от</w:t>
                      </w:r>
                    </w:p>
                  </w:txbxContent>
                </v:textbox>
                <w10:wrap type="square" side="right" anchorx="page"/>
              </v:shape>
            </w:pict>
          </mc:Fallback>
        </mc:AlternateContent>
      </w:r>
    </w:p>
    <w:p>
      <w:pPr>
        <w:pStyle w:val="Style8"/>
        <w:keepNext w:val="0"/>
        <w:keepLines w:val="0"/>
        <w:widowControl w:val="0"/>
        <w:shd w:val="clear" w:color="auto" w:fill="auto"/>
        <w:bidi w:val="0"/>
        <w:spacing w:before="0" w:after="0" w:line="240" w:lineRule="auto"/>
        <w:ind w:left="1040" w:right="0" w:firstLine="0"/>
        <w:jc w:val="left"/>
      </w:pPr>
      <w:r>
        <w:rPr>
          <w:rStyle w:val="CharStyle9"/>
        </w:rPr>
        <w:t>ООО СК «УЮТ»</w:t>
      </w:r>
    </w:p>
    <w:p>
      <w:pPr>
        <w:pStyle w:val="Style8"/>
        <w:keepNext w:val="0"/>
        <w:keepLines w:val="0"/>
        <w:widowControl w:val="0"/>
        <w:shd w:val="clear" w:color="auto" w:fill="auto"/>
        <w:bidi w:val="0"/>
        <w:spacing w:before="0" w:after="0" w:line="240" w:lineRule="auto"/>
        <w:ind w:left="1040" w:right="0" w:firstLine="0"/>
        <w:jc w:val="left"/>
      </w:pPr>
      <w:r>
        <w:rPr>
          <w:rStyle w:val="CharStyle9"/>
        </w:rPr>
        <w:t>ул. Советская, зд. 155а, гп. Емельяново, Емельяновский муниципальный округ, Красноярский край, 663020</w:t>
      </w:r>
    </w:p>
    <w:p>
      <w:pPr>
        <w:pStyle w:val="Style8"/>
        <w:keepNext w:val="0"/>
        <w:keepLines w:val="0"/>
        <w:widowControl w:val="0"/>
        <w:shd w:val="clear" w:color="auto" w:fill="auto"/>
        <w:bidi w:val="0"/>
        <w:spacing w:before="0" w:after="260" w:line="240" w:lineRule="auto"/>
        <w:ind w:left="1040" w:right="0" w:firstLine="0"/>
        <w:jc w:val="left"/>
      </w:pPr>
      <w:r>
        <w:fldChar w:fldCharType="begin"/>
      </w:r>
      <w:r>
        <w:rPr/>
        <w:instrText> HYPERLINK "mailto:sk-uyut@mail.ru" </w:instrText>
      </w:r>
      <w:r>
        <w:fldChar w:fldCharType="separate"/>
      </w:r>
      <w:r>
        <w:rPr>
          <w:rStyle w:val="CharStyle9"/>
          <w:lang w:val="en-US" w:eastAsia="en-US"/>
        </w:rPr>
        <w:t>sk-uyut@mail.ru</w:t>
      </w:r>
      <w:r>
        <w:fldChar w:fldCharType="end"/>
      </w:r>
    </w:p>
    <w:p>
      <w:pPr>
        <w:pStyle w:val="Style8"/>
        <w:keepNext w:val="0"/>
        <w:keepLines w:val="0"/>
        <w:widowControl w:val="0"/>
        <w:shd w:val="clear" w:color="auto" w:fill="auto"/>
        <w:bidi w:val="0"/>
        <w:spacing w:before="0" w:after="0" w:line="240" w:lineRule="auto"/>
        <w:ind w:left="1040" w:right="0" w:firstLine="0"/>
        <w:jc w:val="left"/>
      </w:pPr>
      <w:r>
        <w:rPr>
          <w:rStyle w:val="CharStyle9"/>
        </w:rPr>
        <w:t>Управление Обеспечения Жизнедеятельности Населения Емельяновского муниципального округа</w:t>
      </w:r>
    </w:p>
    <w:p>
      <w:pPr>
        <w:pStyle w:val="Style8"/>
        <w:keepNext w:val="0"/>
        <w:keepLines w:val="0"/>
        <w:widowControl w:val="0"/>
        <w:shd w:val="clear" w:color="auto" w:fill="auto"/>
        <w:bidi w:val="0"/>
        <w:spacing w:before="0" w:after="0" w:line="240" w:lineRule="auto"/>
        <w:ind w:left="1040" w:right="0" w:firstLine="0"/>
        <w:jc w:val="left"/>
      </w:pPr>
      <w:r>
        <w:rPr>
          <w:rStyle w:val="CharStyle9"/>
        </w:rPr>
        <w:t>ул. Московская, зд. 157, гп. Емельяново, Емельяновский муниципальный округ, Красноярский край, 663020</w:t>
      </w:r>
    </w:p>
    <w:p>
      <w:pPr>
        <w:pStyle w:val="Style8"/>
        <w:keepNext w:val="0"/>
        <w:keepLines w:val="0"/>
        <w:widowControl w:val="0"/>
        <w:shd w:val="clear" w:color="auto" w:fill="auto"/>
        <w:bidi w:val="0"/>
        <w:spacing w:before="0" w:after="260" w:line="240" w:lineRule="auto"/>
        <w:ind w:left="1040" w:right="0" w:firstLine="0"/>
        <w:jc w:val="left"/>
      </w:pPr>
      <w:r>
        <w:fldChar w:fldCharType="begin"/>
      </w:r>
      <w:r>
        <w:rPr/>
        <w:instrText> HYPERLINK "mailto:muszakazchik@yandex.ru" </w:instrText>
      </w:r>
      <w:r>
        <w:fldChar w:fldCharType="separate"/>
      </w:r>
      <w:r>
        <w:rPr>
          <w:rStyle w:val="CharStyle9"/>
          <w:lang w:val="en-US" w:eastAsia="en-US"/>
        </w:rPr>
        <w:t>muszakazchik@yandex.ru</w:t>
      </w:r>
      <w:r>
        <w:fldChar w:fldCharType="end"/>
      </w:r>
    </w:p>
    <w:p>
      <w:pPr>
        <w:pStyle w:val="Style8"/>
        <w:keepNext w:val="0"/>
        <w:keepLines w:val="0"/>
        <w:widowControl w:val="0"/>
        <w:shd w:val="clear" w:color="auto" w:fill="auto"/>
        <w:bidi w:val="0"/>
        <w:spacing w:before="0" w:after="0" w:line="240" w:lineRule="auto"/>
        <w:ind w:left="5320" w:right="0" w:firstLine="0"/>
        <w:jc w:val="left"/>
      </w:pPr>
      <w:r>
        <w:rPr>
          <w:rStyle w:val="CharStyle9"/>
        </w:rPr>
        <w:t>Администрация Емельяновского муниципального округа</w:t>
      </w:r>
    </w:p>
    <w:p>
      <w:pPr>
        <w:pStyle w:val="Style8"/>
        <w:keepNext w:val="0"/>
        <w:keepLines w:val="0"/>
        <w:widowControl w:val="0"/>
        <w:shd w:val="clear" w:color="auto" w:fill="auto"/>
        <w:bidi w:val="0"/>
        <w:spacing w:before="0" w:after="0" w:line="240" w:lineRule="auto"/>
        <w:ind w:left="5320" w:right="0" w:firstLine="0"/>
        <w:jc w:val="left"/>
      </w:pPr>
      <w:r>
        <w:rPr>
          <w:rStyle w:val="CharStyle9"/>
        </w:rPr>
        <w:t>ул. Московская, д. 155, гп. Емельяново, Емельяновский муниципальный округ, Красноярский край, 663020</w:t>
      </w:r>
    </w:p>
    <w:p>
      <w:pPr>
        <w:pStyle w:val="Style8"/>
        <w:keepNext w:val="0"/>
        <w:keepLines w:val="0"/>
        <w:widowControl w:val="0"/>
        <w:shd w:val="clear" w:color="auto" w:fill="auto"/>
        <w:bidi w:val="0"/>
        <w:spacing w:before="0" w:after="260" w:line="240" w:lineRule="auto"/>
        <w:ind w:left="5320" w:right="0" w:firstLine="0"/>
        <w:jc w:val="left"/>
      </w:pPr>
      <w:r>
        <w:fldChar w:fldCharType="begin"/>
      </w:r>
      <w:r>
        <w:rPr/>
        <w:instrText> HYPERLINK "mailto:otdelzakupoc@mail.ru" </w:instrText>
      </w:r>
      <w:r>
        <w:fldChar w:fldCharType="separate"/>
      </w:r>
      <w:r>
        <w:rPr>
          <w:rStyle w:val="CharStyle9"/>
          <w:lang w:val="en-US" w:eastAsia="en-US"/>
        </w:rPr>
        <w:t>otdelzakupoc@mail.ru</w:t>
      </w:r>
      <w:r>
        <w:fldChar w:fldCharType="end"/>
      </w:r>
    </w:p>
    <w:p>
      <w:pPr>
        <w:pStyle w:val="Style8"/>
        <w:keepNext w:val="0"/>
        <w:keepLines w:val="0"/>
        <w:widowControl w:val="0"/>
        <w:shd w:val="clear" w:color="auto" w:fill="auto"/>
        <w:bidi w:val="0"/>
        <w:spacing w:before="0" w:after="0" w:line="240" w:lineRule="auto"/>
        <w:ind w:left="5320" w:right="0" w:firstLine="0"/>
        <w:jc w:val="left"/>
      </w:pPr>
      <w:r>
        <w:rPr>
          <w:rStyle w:val="CharStyle9"/>
        </w:rPr>
        <w:t>ООО «РТС-тендер»</w:t>
      </w:r>
    </w:p>
    <w:p>
      <w:pPr>
        <w:pStyle w:val="Style8"/>
        <w:keepNext w:val="0"/>
        <w:keepLines w:val="0"/>
        <w:widowControl w:val="0"/>
        <w:shd w:val="clear" w:color="auto" w:fill="auto"/>
        <w:bidi w:val="0"/>
        <w:spacing w:before="0" w:after="600" w:line="240" w:lineRule="auto"/>
        <w:ind w:left="5320" w:right="0" w:firstLine="0"/>
        <w:jc w:val="left"/>
      </w:pPr>
      <w:r>
        <w:fldChar w:fldCharType="begin"/>
      </w:r>
      <w:r>
        <w:rPr/>
        <w:instrText> HYPERLINK "mailto:ko@rts-tender.ru" </w:instrText>
      </w:r>
      <w:r>
        <w:fldChar w:fldCharType="separate"/>
      </w:r>
      <w:r>
        <w:rPr>
          <w:rStyle w:val="CharStyle9"/>
          <w:lang w:val="en-US" w:eastAsia="en-US"/>
        </w:rPr>
        <w:t>ko@rts-tender.ru</w:t>
      </w:r>
      <w:r>
        <w:fldChar w:fldCharType="end"/>
      </w:r>
      <w:r>
        <w:rPr>
          <w:rStyle w:val="CharStyle9"/>
          <w:lang w:val="en-US" w:eastAsia="en-US"/>
        </w:rPr>
        <w:t xml:space="preserve">, </w:t>
      </w:r>
      <w:r>
        <w:fldChar w:fldCharType="begin"/>
      </w:r>
      <w:r>
        <w:rPr/>
        <w:instrText> HYPERLINK "mailto:info@rts-tender.ru" </w:instrText>
      </w:r>
      <w:r>
        <w:fldChar w:fldCharType="separate"/>
      </w:r>
      <w:r>
        <w:rPr>
          <w:rStyle w:val="CharStyle9"/>
          <w:lang w:val="en-US" w:eastAsia="en-US"/>
        </w:rPr>
        <w:t>info@rts-tender.ru</w:t>
      </w:r>
      <w:r>
        <w:fldChar w:fldCharType="end"/>
      </w:r>
    </w:p>
    <w:p>
      <w:pPr>
        <w:pStyle w:val="Style8"/>
        <w:keepNext w:val="0"/>
        <w:keepLines w:val="0"/>
        <w:widowControl w:val="0"/>
        <w:shd w:val="clear" w:color="auto" w:fill="auto"/>
        <w:bidi w:val="0"/>
        <w:spacing w:before="0" w:after="260" w:line="240" w:lineRule="auto"/>
        <w:ind w:left="0" w:right="0" w:firstLine="0"/>
        <w:jc w:val="center"/>
      </w:pPr>
      <w:r>
        <w:rPr>
          <w:rStyle w:val="CharStyle9"/>
        </w:rPr>
        <w:t>Решение по делу № 024/06/105-1557/2026</w:t>
      </w:r>
    </w:p>
    <w:p>
      <w:pPr>
        <w:pStyle w:val="Style8"/>
        <w:keepNext w:val="0"/>
        <w:keepLines w:val="0"/>
        <w:widowControl w:val="0"/>
        <w:shd w:val="clear" w:color="auto" w:fill="auto"/>
        <w:bidi w:val="0"/>
        <w:spacing w:before="0" w:after="260" w:line="240" w:lineRule="auto"/>
        <w:ind w:left="0" w:right="0" w:firstLine="0"/>
        <w:jc w:val="both"/>
      </w:pPr>
      <w:r>
        <w:rPr>
          <w:rStyle w:val="CharStyle9"/>
        </w:rPr>
        <w:t>19 мая 2026 года г. Красноярск</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Д.Н. Пелевина, ведущий специалист-эксперт (далее — Комиссия), рассмотрев жалобу ООО СК «УЮТ» (далее – Податель жалобы) на действия заказчика — Управления Обеспечения Жизнедеятельности Населения Емельяновского муниципального округа (далее — Заказчик), уполномоченного органа — Администрации Емельяновского муниципального округа (далее — Уполномоченный орган) при проведении запроса котировок в электронной форме «Работы по содержанию улично-дорожной сети на территории Емельяновского муниципального округа (направление 2)» (далее — запрос котировок), извещение № 0119600025426000121, ИКЗ 263241103528224110100100010054211244 на электронной торговой площадке ООО «РТС-тендер» (далее — Оператор электронной площадки),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Существо жалобы: неправомерные действия Заказчика при формировании извещения о проведении запроса котировок, нарушающие требования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440" w:line="240" w:lineRule="auto"/>
        <w:ind w:left="0" w:right="0" w:firstLine="700"/>
        <w:jc w:val="both"/>
      </w:pPr>
      <w:r>
        <w:rPr>
          <w:rStyle w:val="CharStyle9"/>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keepLines/>
        <w:widowControl w:val="0"/>
        <w:shd w:val="clear" w:color="auto" w:fill="auto"/>
        <w:bidi w:val="0"/>
        <w:spacing w:before="0" w:line="240" w:lineRule="auto"/>
        <w:ind w:left="0" w:right="0" w:firstLine="0"/>
        <w:jc w:val="left"/>
      </w:pPr>
      <w:bookmarkStart w:id="0" w:name="bookmark0"/>
      <w:r>
        <w:rPr>
          <w:rStyle w:val="CharStyle14"/>
        </w:rPr>
        <w:t>IIIIIIIIIIIIIIIIIIIIIIII</w:t>
      </w:r>
      <w:bookmarkEnd w:id="0"/>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адреса Подателя жалобы, Заказчика, Уполномоченного органа и Оператора электронной площадки было направлено уведомление о содержании жалобы с информацией о месте и времени ее рассмотрения (далее </w:t>
      </w:r>
      <w:r>
        <w:rPr>
          <w:rStyle w:val="CharStyle9"/>
          <w:lang w:val="en-US" w:eastAsia="en-US"/>
        </w:rPr>
        <w:t xml:space="preserve">— </w:t>
      </w:r>
      <w:r>
        <w:rPr>
          <w:rStyle w:val="CharStyle9"/>
        </w:rPr>
        <w:t>Уведомление).</w:t>
      </w:r>
    </w:p>
    <w:p>
      <w:pPr>
        <w:pStyle w:val="Style8"/>
        <w:keepNext w:val="0"/>
        <w:keepLines w:val="0"/>
        <w:widowControl w:val="0"/>
        <w:shd w:val="clear" w:color="auto" w:fill="auto"/>
        <w:bidi w:val="0"/>
        <w:spacing w:before="0" w:after="0" w:line="240" w:lineRule="auto"/>
        <w:ind w:left="0" w:right="0" w:firstLine="700"/>
        <w:jc w:val="both"/>
      </w:pPr>
      <w:r>
        <w:rPr>
          <w:rStyle w:val="CharStyle9"/>
        </w:rPr>
        <w:t>Заказчику, Уполномоченному органу и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заседании Комиссии по рассмотрению жалобы </w:t>
      </w:r>
      <w:r>
        <w:rPr>
          <w:rStyle w:val="CharStyle9"/>
          <w:lang w:val="en-US" w:eastAsia="en-US"/>
        </w:rPr>
        <w:t xml:space="preserve">19.05.2026 </w:t>
      </w:r>
      <w:r>
        <w:rPr>
          <w:rStyle w:val="CharStyle9"/>
        </w:rPr>
        <w:t xml:space="preserve">в </w:t>
      </w:r>
      <w:r>
        <w:rPr>
          <w:rStyle w:val="CharStyle9"/>
          <w:lang w:val="en-US" w:eastAsia="en-US"/>
        </w:rPr>
        <w:t xml:space="preserve">10 </w:t>
      </w:r>
      <w:r>
        <w:rPr>
          <w:rStyle w:val="CharStyle9"/>
        </w:rPr>
        <w:t xml:space="preserve">часов </w:t>
      </w:r>
      <w:r>
        <w:rPr>
          <w:rStyle w:val="CharStyle9"/>
          <w:lang w:val="en-US" w:eastAsia="en-US"/>
        </w:rPr>
        <w:t xml:space="preserve">30 </w:t>
      </w:r>
      <w:r>
        <w:rPr>
          <w:rStyle w:val="CharStyle9"/>
        </w:rPr>
        <w:t>минут по существу присутствовали представители Уполномоченного органа, надлежащим образом подтвердившие свои личности и полномочия.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Представители Подателя жалобы и Заказчика, уведомленные надлежащим образом о дате и месте рассмотрения, отсутствовали на заседании Комиссии.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в связи с поступлением жалобы также провела внеплановую проверку соблюдения законодательства о контрактной системе при проведении рассматриваемой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Податель жалобы выдвигает несколько доводов в отношении действий Заказчика, указывая на предполагаемые нарушения действующего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частности, Податель жалобы полагает, что Заказчиком нарушен установленный порядок обоснования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00"/>
        <w:jc w:val="both"/>
      </w:pPr>
      <w:r>
        <w:rPr>
          <w:rStyle w:val="CharStyle9"/>
        </w:rPr>
        <w:t>Кроме того, Заявитель отмечает недостаточную конкретизацию состава работ по большинству единичных расценок в описании объекта закупки, что, по его мнению, может привести к неоднозначной трактовке требований потенциальными участниками.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Также Податель жалобы указывает на предполагаемое нарушение со стороны Заказчика в части формирования проекта контракта: в документе отсутствует положение, предусмотренное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Заказчиком и Уполномоченным органом представлены письменные возражения в отношении доводов жалобы, из которых следует, что извещение о проведении запроса котировок составлено в соответствии с требованиями Закона о контрактной системе, исходя из фактической потребности Заказчика.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9"/>
          <w:lang w:val="en-US" w:eastAsia="en-US"/>
        </w:rPr>
        <w:t xml:space="preserve">– </w:t>
      </w:r>
      <w:r>
        <w:rPr>
          <w:rStyle w:val="CharStyle9"/>
        </w:rPr>
        <w:t>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связи с возникшей потребностью Заказчика Уполномоченным органом совершены действия по проведению запроса котировок.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Извещение о проведении запроса котировок на право заключения контракта на «выполнение работ по содержанию улично-дорожной сети на территории Емельяновского муниципального округа (направление </w:t>
      </w:r>
      <w:r>
        <w:rPr>
          <w:rStyle w:val="CharStyle9"/>
          <w:lang w:val="en-US" w:eastAsia="en-US"/>
        </w:rPr>
        <w:t xml:space="preserve">2)» </w:t>
      </w:r>
      <w:r>
        <w:rPr>
          <w:rStyle w:val="CharStyle9"/>
        </w:rPr>
        <w:t xml:space="preserve">размещено </w:t>
      </w:r>
      <w:r>
        <w:rPr>
          <w:rStyle w:val="CharStyle9"/>
          <w:lang w:val="en-US" w:eastAsia="en-US"/>
        </w:rPr>
        <w:t xml:space="preserve">05.05.2026 </w:t>
      </w:r>
      <w:r>
        <w:rPr>
          <w:rStyle w:val="CharStyle9"/>
        </w:rPr>
        <w:t>в ЕИС.</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пункту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пункта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соответствии с частью </w:t>
      </w:r>
      <w:r>
        <w:rPr>
          <w:rStyle w:val="CharStyle9"/>
          <w:lang w:val="en-US" w:eastAsia="en-US"/>
        </w:rPr>
        <w:t xml:space="preserve">2 </w:t>
      </w:r>
      <w:r>
        <w:rPr>
          <w:rStyle w:val="CharStyle9"/>
        </w:rPr>
        <w:t xml:space="preserve">статьи </w:t>
      </w:r>
      <w:r>
        <w:rPr>
          <w:rStyle w:val="CharStyle9"/>
          <w:lang w:val="en-US" w:eastAsia="en-US"/>
        </w:rPr>
        <w:t xml:space="preserve">33 </w:t>
      </w:r>
      <w:r>
        <w:rPr>
          <w:rStyle w:val="CharStyle9"/>
        </w:rPr>
        <w:t xml:space="preserve">Закона о контрактной системе описание объекта закупки в соответствии с требованиями, указанными в 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соответствии с положениями статьи </w:t>
      </w:r>
      <w:r>
        <w:rPr>
          <w:rStyle w:val="CharStyle9"/>
          <w:lang w:val="en-US" w:eastAsia="en-US"/>
        </w:rPr>
        <w:t xml:space="preserve">33 </w:t>
      </w:r>
      <w:r>
        <w:rPr>
          <w:rStyle w:val="CharStyle9"/>
        </w:rPr>
        <w:t>Закона о контрактной системе Заказчик вправе</w:t>
      </w:r>
    </w:p>
    <w:p>
      <w:pPr>
        <w:pStyle w:val="Style8"/>
        <w:keepNext w:val="0"/>
        <w:keepLines w:val="0"/>
        <w:widowControl w:val="0"/>
        <w:shd w:val="clear" w:color="auto" w:fill="auto"/>
        <w:bidi w:val="0"/>
        <w:spacing w:before="0" w:after="0" w:line="240" w:lineRule="auto"/>
        <w:ind w:left="0" w:right="0" w:firstLine="0"/>
        <w:jc w:val="both"/>
      </w:pPr>
      <w:r>
        <w:rPr>
          <w:rStyle w:val="CharStyle9"/>
        </w:rPr>
        <w:t>определить такие требования к товару, которые соответствуют его потребности с учетом специфики деятельности.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 </w:t>
      </w:r>
      <w:r>
        <w:rPr>
          <w:rStyle w:val="CharStyle9"/>
          <w:lang w:val="en-US" w:eastAsia="en-US"/>
        </w:rPr>
        <w:t xml:space="preserve">9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Закона о контрактной системе устанавливает, что извещение об осуществлении закупки должно содержать информацию о начальной (максимальной) цене контракта, источнике финансирования и наименовании валюты в соответствии с общероссийским классификатором валют.</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7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объеме (за исключением случая, предусмотренного частью </w:t>
      </w:r>
      <w:r>
        <w:rPr>
          <w:rStyle w:val="CharStyle9"/>
          <w:lang w:val="en-US" w:eastAsia="en-US"/>
        </w:rPr>
        <w:t xml:space="preserve">24 </w:t>
      </w:r>
      <w:r>
        <w:rPr>
          <w:rStyle w:val="CharStyle9"/>
        </w:rPr>
        <w:t xml:space="preserve">статьи </w:t>
      </w:r>
      <w:r>
        <w:rPr>
          <w:rStyle w:val="CharStyle9"/>
          <w:lang w:val="en-US" w:eastAsia="en-US"/>
        </w:rPr>
        <w:t xml:space="preserve">22 </w:t>
      </w:r>
      <w:r>
        <w:rPr>
          <w:rStyle w:val="CharStyle9"/>
        </w:rPr>
        <w:t>настоящего Федерального закона), о единице измерения (при наличии) и месте выполнения работы или оказания услуги.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 </w:t>
      </w:r>
      <w:r>
        <w:rPr>
          <w:rStyle w:val="CharStyle9"/>
          <w:lang w:val="en-US" w:eastAsia="en-US"/>
        </w:rPr>
        <w:t xml:space="preserve">24 </w:t>
      </w:r>
      <w:r>
        <w:rPr>
          <w:rStyle w:val="CharStyle9"/>
        </w:rPr>
        <w:t xml:space="preserve">статьи </w:t>
      </w:r>
      <w:r>
        <w:rPr>
          <w:rStyle w:val="CharStyle9"/>
          <w:lang w:val="en-US" w:eastAsia="en-US"/>
        </w:rPr>
        <w:t xml:space="preserve">22 </w:t>
      </w:r>
      <w:r>
        <w:rPr>
          <w:rStyle w:val="CharStyle9"/>
        </w:rPr>
        <w:t xml:space="preserve">Закона о контрактной системе регламентирует порядок осуществления закупок в случаях, когда невозможно заранее определить точное количество поставляемых товаров, объем подлежащих выполнению работ или оказанию услуг </w:t>
      </w:r>
      <w:r>
        <w:rPr>
          <w:rStyle w:val="CharStyle9"/>
          <w:lang w:val="en-US" w:eastAsia="en-US"/>
        </w:rPr>
        <w:t xml:space="preserve">— </w:t>
      </w:r>
      <w:r>
        <w:rPr>
          <w:rStyle w:val="CharStyle9"/>
        </w:rPr>
        <w:t xml:space="preserve">так называемых закупок без определенного объема. В подобных ситуациях закон возлагает на заказчика обязанность определить начальную цену единицы товара, работы или услуги, рассчитать начальную сумму цен указанных единиц, установить максимальное значение цены контракта и обосновать цену единицы в соответствии с положениями статьи </w:t>
      </w:r>
      <w:r>
        <w:rPr>
          <w:rStyle w:val="CharStyle9"/>
          <w:lang w:val="en-US" w:eastAsia="en-US"/>
        </w:rPr>
        <w:t xml:space="preserve">22 </w:t>
      </w:r>
      <w:r>
        <w:rPr>
          <w:rStyle w:val="CharStyle9"/>
        </w:rPr>
        <w:t>Закона о контрактной системе. При этом положения закона, касающиеся применения начальной (максимальной) цены контракта — в том числе для расчета размера обеспечения заявки или обеспечения исполнения контракта — применяются к максимальному значению цены контракта, если законом не установлено иное.</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анализа положений извещения о проведении запроса котировок,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г.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на выполнение работ по содержанию улично-дорожной сети на территории Емельяновского муниципального округа (направление 2).</w:t>
      </w:r>
    </w:p>
    <w:p>
      <w:pPr>
        <w:pStyle w:val="Style8"/>
        <w:keepNext w:val="0"/>
        <w:keepLines w:val="0"/>
        <w:widowControl w:val="0"/>
        <w:shd w:val="clear" w:color="auto" w:fill="auto"/>
        <w:bidi w:val="0"/>
        <w:spacing w:before="0" w:after="0" w:line="240" w:lineRule="auto"/>
        <w:ind w:left="0" w:right="0" w:firstLine="720"/>
        <w:jc w:val="both"/>
      </w:pPr>
      <w:r>
        <w:rPr>
          <w:rStyle w:val="CharStyle9"/>
        </w:rPr>
        <w:t>Относительно первого довода Подателя жалобы о том, что Заказчиком нарушен установленный порядок обоснования начальной (максимальной) цены контракта, Комиссия сообщает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соответствии с Законом о контрактной системе Заказчик вправе детализировать предмет закупок путем установления требований к поставляемым товарам таким образом, чтобы они в полной мере соответствовали его потребностям, и позволяли должным образом осуществлять профессиональную деятельность.</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пункту 2 части 2 статьи 42 Закона о контрактной системе извещение об осуществлении закупки должно содержать обоснование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части 3 статьи 99 Закона о контрактной системе ФАС России и ее территориальные органы осуществляют контроль в сфере закупок, за исключением контроля, предусмотренного частями 5, 8 и 10 статьи 99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Частью 8 статьи 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статьи 99 Закона о контрактной системе) в отношении соблюдения правил нормирования в сфере закупок, установленных в соответствии со статьей 19 Закона о контрактной системе;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w:t>
      </w:r>
    </w:p>
    <w:p>
      <w:pPr>
        <w:pStyle w:val="Style8"/>
        <w:keepNext w:val="0"/>
        <w:keepLines w:val="0"/>
        <w:widowControl w:val="0"/>
        <w:shd w:val="clear" w:color="auto" w:fill="auto"/>
        <w:bidi w:val="0"/>
        <w:spacing w:before="0" w:after="0" w:line="240" w:lineRule="auto"/>
        <w:ind w:left="0" w:right="0" w:firstLine="0"/>
        <w:jc w:val="both"/>
      </w:pPr>
      <w:r>
        <w:rPr>
          <w:rStyle w:val="CharStyle9"/>
        </w:rPr>
        <w:t>товара, работы, услуги; соблюдения предусмотренных Законом о контрактной системе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 соответствия использования поставленного товара, выполненной работы (ее результата) или оказанной услуги целям осуществления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Ввиду того, что на основании пункта </w:t>
      </w:r>
      <w:r>
        <w:rPr>
          <w:rStyle w:val="CharStyle9"/>
          <w:lang w:val="en-US" w:eastAsia="en-US"/>
        </w:rPr>
        <w:t xml:space="preserve">3 </w:t>
      </w:r>
      <w:r>
        <w:rPr>
          <w:rStyle w:val="CharStyle9"/>
        </w:rPr>
        <w:t xml:space="preserve">части </w:t>
      </w:r>
      <w:r>
        <w:rPr>
          <w:rStyle w:val="CharStyle9"/>
          <w:lang w:val="en-US" w:eastAsia="en-US"/>
        </w:rPr>
        <w:t xml:space="preserve">8 </w:t>
      </w:r>
      <w:r>
        <w:rPr>
          <w:rStyle w:val="CharStyle9"/>
        </w:rPr>
        <w:t xml:space="preserve">статьи </w:t>
      </w:r>
      <w:r>
        <w:rPr>
          <w:rStyle w:val="CharStyle9"/>
          <w:lang w:val="en-US" w:eastAsia="en-US"/>
        </w:rPr>
        <w:t xml:space="preserve">99 </w:t>
      </w:r>
      <w:r>
        <w:rPr>
          <w:rStyle w:val="CharStyle9"/>
        </w:rPr>
        <w:t>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не входит в компетенцию антимонопольного органа, Комиссия лишена возможности рассмотрения довода жалобы, касающегося обоснования начальной (максимальной) цены контракта. Комиссия может проверить только наличие начальной (максимальной) цены контракта в составе извещения о проведении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этом обоснование начальной (максимальной) цены контракта в составе извещения о проведении закупки имеется.</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Таким образом, Комиссия, не выходя за рамки представленных Законом о контрактной системе полномочий, пришла к выводу о необоснованности первого довода жалобы.</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также обращает внимание Подателя жалобы, что Красноярское УФАС России не уполномочено давать оценку расчету НМЦК. Для проверки обоснованности расчета НМЦК Подателю жалобы надлежит обратиться в соответствующие органы муниципального финансового контроля в соответствии с трериториальным расположением Заказчика.</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отношении второго довода Подателя жалобы, касающегося недостаточной конкретизации состава работ по большинству единичных расценок в описании объекта закупки, Комиссия сообщает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Проведя детальный анализ описания объекта закупки и проекта контракта, Комиссия приходит к выводу о правомерности и обоснованности действий Заказчика в данной части.</w:t>
      </w:r>
    </w:p>
    <w:p>
      <w:pPr>
        <w:pStyle w:val="Style8"/>
        <w:keepNext w:val="0"/>
        <w:keepLines w:val="0"/>
        <w:widowControl w:val="0"/>
        <w:shd w:val="clear" w:color="auto" w:fill="auto"/>
        <w:bidi w:val="0"/>
        <w:spacing w:before="0" w:after="0" w:line="240" w:lineRule="auto"/>
        <w:ind w:left="0" w:right="0" w:firstLine="720"/>
        <w:jc w:val="both"/>
      </w:pPr>
      <w:r>
        <w:rPr>
          <w:rStyle w:val="CharStyle9"/>
        </w:rPr>
        <w:t>Сведения, содержащиеся в указанных документах, являются достаточными и полными для того, чтобы участники запроса котировок могли однозначно определить объем и состав подлежащих выполнению работ. При этом действующее законодательство Российской Федерации, в том числе положения Закона о контрактной системе, не устанавливает обязательных требований к порядку детализации объема работ.</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Законодательство о контрактной системе предоставляет Заказчику право самостоятельно определять характеристики закупаемого товара исходя из своих потребностей и преследуемых целей.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Статьей </w:t>
      </w:r>
      <w:r>
        <w:rPr>
          <w:rStyle w:val="CharStyle9"/>
          <w:lang w:val="en-US" w:eastAsia="en-US"/>
        </w:rPr>
        <w:t xml:space="preserve">8 </w:t>
      </w:r>
      <w:r>
        <w:rPr>
          <w:rStyle w:val="CharStyle9"/>
        </w:rPr>
        <w:t>Закона о контрактной системе определено,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Участником закупки может стать любое лицо, предлагающее выполнение работ, соответствующих требованиям документации, установленным исходя из потребностей Заказчика. Количество таких участников не ограничено.</w:t>
      </w:r>
    </w:p>
    <w:p>
      <w:pPr>
        <w:pStyle w:val="Style8"/>
        <w:keepNext w:val="0"/>
        <w:keepLines w:val="0"/>
        <w:widowControl w:val="0"/>
        <w:shd w:val="clear" w:color="auto" w:fill="auto"/>
        <w:bidi w:val="0"/>
        <w:spacing w:before="0" w:after="0" w:line="240" w:lineRule="auto"/>
        <w:ind w:left="0" w:right="0" w:firstLine="720"/>
        <w:jc w:val="both"/>
      </w:pPr>
      <w:r>
        <w:rPr>
          <w:rStyle w:val="CharStyle9"/>
        </w:rPr>
        <w:t>Относительно отсутствия в документации цен единиц работ на перевозку (транспортировку) инертных материалов (щебня, щебеночно-песчаной смеси, песчано-гравийной смеси, асфальта и иных аналогичных материалов), Заказчик в своих письменных пояснениях</w:t>
      </w:r>
    </w:p>
    <w:p>
      <w:pPr>
        <w:pStyle w:val="Style8"/>
        <w:keepNext w:val="0"/>
        <w:keepLines w:val="0"/>
        <w:widowControl w:val="0"/>
        <w:shd w:val="clear" w:color="auto" w:fill="auto"/>
        <w:bidi w:val="0"/>
        <w:spacing w:before="0" w:after="0" w:line="240" w:lineRule="auto"/>
        <w:ind w:left="0" w:right="0" w:firstLine="0"/>
        <w:jc w:val="both"/>
      </w:pPr>
      <w:r>
        <w:rPr>
          <w:rStyle w:val="CharStyle9"/>
        </w:rPr>
        <w:t>обоснованно указал, что цены на соответствующие материалы изначально указаны с учетом затрат на их доставку (транспортировку).</w:t>
      </w:r>
    </w:p>
    <w:p>
      <w:pPr>
        <w:pStyle w:val="Style8"/>
        <w:keepNext w:val="0"/>
        <w:keepLines w:val="0"/>
        <w:widowControl w:val="0"/>
        <w:shd w:val="clear" w:color="auto" w:fill="auto"/>
        <w:bidi w:val="0"/>
        <w:spacing w:before="0" w:after="0" w:line="240" w:lineRule="auto"/>
        <w:ind w:left="0" w:right="0" w:firstLine="720"/>
        <w:jc w:val="both"/>
      </w:pPr>
      <w:r>
        <w:rPr>
          <w:rStyle w:val="CharStyle9"/>
        </w:rPr>
        <w:t>Факт подачи двух заявок от участников запроса котировок дополнительно подтверждает полноту и ясность описания объекта закупки и формально извещения. Наличие поданных заявок свидетельствует о том, что потенциальные исполнители сочли перечень работ и условия закупки понятными и достаточными для формирования своих предложений, что подтверждает отсутствие существенных неясностей или пробелов в документации, способных затруднить участие в процедуре.</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Заказчик, действуя в рамках предоставленных ему полномочий, самостоятельно определяет состав и структуру перечня цен единиц работ. В рассматриваемом случае данный перечень сформирован с учетом специфики закупки, предусматривающей отсутствие заранее фиксированного объема выполняемых работ. При этом условия контракта определяются исключительно положениями извещения о закупке и проекта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Соответственно, контрагент, заключивший контракт по итогам процедуры, обязан исполнять исключительно те обязательства, которые предусмотрены указанными документами.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изложенного Комиссия приходит к выводу, что характеристики, включенные Заказчиком в описание объекта закупки, сформированы с учетом его фактических потребностей и полностью соответствуют нормам действующего законодательства о контрактной системе. Доказательств, опровергающих данный вывод или указывающих на какие-либо нарушения со стороны Заказчика, не представлено.</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Относительно третьего довода Подателя жалобы, касающегося отсутствия в проекте контракта положения, предусмотренного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Закона о контрактной системе, Комиссия сообщает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Статья </w:t>
      </w:r>
      <w:r>
        <w:rPr>
          <w:rStyle w:val="CharStyle9"/>
          <w:lang w:val="en-US" w:eastAsia="en-US"/>
        </w:rPr>
        <w:t xml:space="preserve">34 </w:t>
      </w:r>
      <w:r>
        <w:rPr>
          <w:rStyle w:val="CharStyle9"/>
        </w:rPr>
        <w:t>Закона о контрактной системе устанавливает перечень обязательных условий, подлежащих включению в контракт, и упомянутое положение в данный перечень не входит.</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положениями Закона о контрактной системе включение положения, предусмотренного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Закона о контрактной системе в проект контракта, не отнесено к числу обязательных требований, предъявляемых к содержанию документации о закупке.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Иными словами, у Заказчика отсутствует нормативно закрепленная обязанность прямо воспроизводить формулировку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 xml:space="preserve">Закона о контрактной системе в тексте проекта контракта. При формировании документации о закупке Заказчик обязан обеспечить соответствие контракта требованиям статьи </w:t>
      </w:r>
      <w:r>
        <w:rPr>
          <w:rStyle w:val="CharStyle9"/>
          <w:lang w:val="en-US" w:eastAsia="en-US"/>
        </w:rPr>
        <w:t xml:space="preserve">34 </w:t>
      </w:r>
      <w:r>
        <w:rPr>
          <w:rStyle w:val="CharStyle9"/>
        </w:rPr>
        <w:t xml:space="preserve">Закона о контрактной системе, однако включение иных положений, прямо не предусмотренных данной статьей, остается на усмотрение Заказчика </w:t>
      </w:r>
      <w:r>
        <w:rPr>
          <w:rStyle w:val="CharStyle9"/>
          <w:lang w:val="en-US" w:eastAsia="en-US"/>
        </w:rPr>
        <w:t xml:space="preserve">— </w:t>
      </w:r>
      <w:r>
        <w:rPr>
          <w:rStyle w:val="CharStyle9"/>
        </w:rPr>
        <w:t>при условии соблюдения общих норм законодательства.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этом необходимо учитывать основополагающий принцип действия законодательства: нормы закона имеют прямое действие и обязательны к применению вне зависимости от их дублирования в локальных документах, включая проект контракта. То есть правовые предписания, закрепленные в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 xml:space="preserve">Закона о контрактной системе, сохраняют свою юридическую силу и подлежат неукоснительному соблюдению сторонами контракта в силу прямого указания закона </w:t>
      </w:r>
      <w:r>
        <w:rPr>
          <w:rStyle w:val="CharStyle9"/>
          <w:lang w:val="en-US" w:eastAsia="en-US"/>
        </w:rPr>
        <w:t xml:space="preserve">— </w:t>
      </w:r>
      <w:r>
        <w:rPr>
          <w:rStyle w:val="CharStyle9"/>
        </w:rPr>
        <w:t>независимо от того, продублированы ли они текстуально в документации.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Отсутствие прямого упоминания данного положения в проекте контракта не означает освобождения Заказчика от обязанности соблюдать установленные законом требования. Заказчик, как субъект правоотношений в сфере закупок товаров, работ и услуг для обеспечения государственных и муниципальных нужд обязан действовать в строгом соответствии с нормами Закона о контрактной системе, а значит, предусмотренные частью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 xml:space="preserve">положения будут применяться как до заключения контракта, так и в рамках исполнения контракта в любом случае </w:t>
      </w:r>
      <w:r>
        <w:rPr>
          <w:rStyle w:val="CharStyle9"/>
          <w:lang w:val="en-US" w:eastAsia="en-US"/>
        </w:rPr>
        <w:t xml:space="preserve">— </w:t>
      </w:r>
      <w:r>
        <w:rPr>
          <w:rStyle w:val="CharStyle9"/>
        </w:rPr>
        <w:t>в силу прямого действия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изложенного Комиссия приходит к выводу, что отсутствие в проекте контракта ссылки на часть </w:t>
      </w:r>
      <w:r>
        <w:rPr>
          <w:rStyle w:val="CharStyle9"/>
          <w:lang w:val="en-US" w:eastAsia="en-US"/>
        </w:rPr>
        <w:t xml:space="preserve">8.1 </w:t>
      </w:r>
      <w:r>
        <w:rPr>
          <w:rStyle w:val="CharStyle9"/>
        </w:rPr>
        <w:t xml:space="preserve">статьи </w:t>
      </w:r>
      <w:r>
        <w:rPr>
          <w:rStyle w:val="CharStyle9"/>
          <w:lang w:val="en-US" w:eastAsia="en-US"/>
        </w:rPr>
        <w:t xml:space="preserve">96 </w:t>
      </w:r>
      <w:r>
        <w:rPr>
          <w:rStyle w:val="CharStyle9"/>
        </w:rPr>
        <w:t>Закона о контрактной системе не является нарушением законодательства о контрактной системе и не нарушает прав и законных интересов участников закупки. Доказательств обратного в адрес Комиссии не представлено.</w:t>
      </w:r>
      <w:r>
        <w:br w:type="page"/>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изучив совокупность документов и сведений, имеющихся в материалах жалобы, Комиссия приходит к выводу, что действия Заказчика в части формирования положений извещения не противоречат требованиям Закона о контрактной системе, являются законными и правомерными, доводы жалобы признаны Комиссией несостоятельными.</w:t>
      </w:r>
    </w:p>
    <w:p>
      <w:pPr>
        <w:pStyle w:val="Style8"/>
        <w:keepNext w:val="0"/>
        <w:keepLines w:val="0"/>
        <w:widowControl w:val="0"/>
        <w:shd w:val="clear" w:color="auto" w:fill="auto"/>
        <w:bidi w:val="0"/>
        <w:spacing w:before="0" w:after="260" w:line="240" w:lineRule="auto"/>
        <w:ind w:left="0" w:right="0" w:firstLine="700"/>
        <w:jc w:val="both"/>
      </w:pPr>
      <w:r>
        <w:rPr>
          <w:rStyle w:val="CharStyle9"/>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9"/>
          <w:lang w:val="en-US" w:eastAsia="en-US"/>
        </w:rPr>
        <w:t xml:space="preserve">3, 15 </w:t>
      </w:r>
      <w:r>
        <w:rPr>
          <w:rStyle w:val="CharStyle9"/>
        </w:rPr>
        <w:t xml:space="preserve">статьи </w:t>
      </w:r>
      <w:r>
        <w:rPr>
          <w:rStyle w:val="CharStyle9"/>
          <w:lang w:val="en-US" w:eastAsia="en-US"/>
        </w:rPr>
        <w:t xml:space="preserve">99, </w:t>
      </w:r>
      <w:r>
        <w:rPr>
          <w:rStyle w:val="CharStyle9"/>
        </w:rPr>
        <w:t xml:space="preserve">частью </w:t>
      </w:r>
      <w:r>
        <w:rPr>
          <w:rStyle w:val="CharStyle9"/>
          <w:lang w:val="en-US" w:eastAsia="en-US"/>
        </w:rPr>
        <w:t xml:space="preserve">8 </w:t>
      </w:r>
      <w:r>
        <w:rPr>
          <w:rStyle w:val="CharStyle9"/>
        </w:rPr>
        <w:t xml:space="preserve">статьи </w:t>
      </w:r>
      <w:r>
        <w:rPr>
          <w:rStyle w:val="CharStyle9"/>
          <w:lang w:val="en-US" w:eastAsia="en-US"/>
        </w:rPr>
        <w:t xml:space="preserve">106 </w:t>
      </w:r>
      <w:r>
        <w:rPr>
          <w:rStyle w:val="CharStyle9"/>
        </w:rPr>
        <w:t>Закона о контрактной системе Комиссия Красноярского УФАС России</w:t>
      </w:r>
    </w:p>
    <w:p>
      <w:pPr>
        <w:pStyle w:val="Style8"/>
        <w:keepNext w:val="0"/>
        <w:keepLines w:val="0"/>
        <w:widowControl w:val="0"/>
        <w:shd w:val="clear" w:color="auto" w:fill="auto"/>
        <w:bidi w:val="0"/>
        <w:spacing w:before="0" w:after="260" w:line="240" w:lineRule="auto"/>
        <w:ind w:left="0" w:right="0" w:firstLine="0"/>
        <w:jc w:val="center"/>
      </w:pPr>
      <w:r>
        <w:rPr>
          <w:rStyle w:val="CharStyle9"/>
        </w:rPr>
        <w:t>РЕШИЛА:</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Признать жалобу ООО СК «УЮТ» необоснованной.</w:t>
      </w:r>
    </w:p>
    <w:p>
      <w:pPr>
        <w:pStyle w:val="Style8"/>
        <w:keepNext w:val="0"/>
        <w:keepLines w:val="0"/>
        <w:widowControl w:val="0"/>
        <w:shd w:val="clear" w:color="auto" w:fill="auto"/>
        <w:bidi w:val="0"/>
        <w:spacing w:before="0" w:after="540" w:line="240" w:lineRule="auto"/>
        <w:ind w:left="0" w:right="0" w:firstLine="700"/>
        <w:jc w:val="both"/>
      </w:pPr>
      <w:r>
        <w:rPr>
          <w:rStyle w:val="CharStyle9"/>
        </w:rPr>
        <w:t>Настоящее решение может быть обжаловано в Арбитражный суд Красноярского края в течение трех месяцев со дня его принятия.</w:t>
      </w:r>
    </w:p>
    <w:p>
      <w:pPr>
        <w:pStyle w:val="Style8"/>
        <w:keepNext w:val="0"/>
        <w:keepLines w:val="0"/>
        <w:widowControl w:val="0"/>
        <w:shd w:val="clear" w:color="auto" w:fill="auto"/>
        <w:bidi w:val="0"/>
        <w:spacing w:before="0" w:after="540" w:line="240" w:lineRule="auto"/>
        <w:ind w:left="0" w:right="0" w:firstLine="0"/>
        <w:jc w:val="both"/>
      </w:pPr>
      <w:r>
        <mc:AlternateContent>
          <mc:Choice Requires="wps">
            <w:drawing>
              <wp:anchor distT="0" distB="524510" distL="114300" distR="114300" simplePos="0" relativeHeight="125829381" behindDoc="0" locked="0" layoutInCell="1" allowOverlap="1">
                <wp:simplePos x="0" y="0"/>
                <wp:positionH relativeFrom="page">
                  <wp:posOffset>6234430</wp:posOffset>
                </wp:positionH>
                <wp:positionV relativeFrom="paragraph">
                  <wp:posOffset>12700</wp:posOffset>
                </wp:positionV>
                <wp:extent cx="953770" cy="194945"/>
                <wp:wrapSquare wrapText="left"/>
                <wp:docPr id="5" name="Shape 5"/>
                <a:graphic xmlns:a="http://schemas.openxmlformats.org/drawingml/2006/main">
                  <a:graphicData uri="http://schemas.microsoft.com/office/word/2010/wordprocessingShape">
                    <wps:wsp>
                      <wps:cNvSpPr txBox="1"/>
                      <wps:spPr>
                        <a:xfrm>
                          <a:ext cx="953770" cy="19494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Е.О. Хорышев</w:t>
                            </w:r>
                          </w:p>
                        </w:txbxContent>
                      </wps:txbx>
                      <wps:bodyPr wrap="none" lIns="0" tIns="0" rIns="0" bIns="0">
                        <a:noAutoFit/>
                      </wps:bodyPr>
                    </wps:wsp>
                  </a:graphicData>
                </a:graphic>
              </wp:anchor>
            </w:drawing>
          </mc:Choice>
          <mc:Fallback>
            <w:pict>
              <v:shape id="_x0000_s1031" type="#_x0000_t202" style="position:absolute;margin-left:490.90000000000003pt;margin-top:1.pt;width:75.100000000000009pt;height:15.35pt;z-index:-125829372;mso-wrap-distance-left:9.pt;mso-wrap-distance-right:9.pt;mso-wrap-distance-bottom:41.30000000000000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Е.О. Хорышев</w:t>
                      </w:r>
                    </w:p>
                  </w:txbxContent>
                </v:textbox>
                <w10:wrap type="square" side="left" anchorx="page"/>
              </v:shape>
            </w:pict>
          </mc:Fallback>
        </mc:AlternateContent>
      </w:r>
      <w:r>
        <mc:AlternateContent>
          <mc:Choice Requires="wps">
            <w:drawing>
              <wp:anchor distT="527050" distB="635" distL="260350" distR="117475" simplePos="0" relativeHeight="125829383" behindDoc="0" locked="0" layoutInCell="1" allowOverlap="1">
                <wp:simplePos x="0" y="0"/>
                <wp:positionH relativeFrom="page">
                  <wp:posOffset>6380480</wp:posOffset>
                </wp:positionH>
                <wp:positionV relativeFrom="paragraph">
                  <wp:posOffset>539750</wp:posOffset>
                </wp:positionV>
                <wp:extent cx="804545" cy="191770"/>
                <wp:wrapSquare wrapText="left"/>
                <wp:docPr id="7" name="Shape 7"/>
                <a:graphic xmlns:a="http://schemas.openxmlformats.org/drawingml/2006/main">
                  <a:graphicData uri="http://schemas.microsoft.com/office/word/2010/wordprocessingShape">
                    <wps:wsp>
                      <wps:cNvSpPr txBox="1"/>
                      <wps:spPr>
                        <a:xfrm>
                          <a:ext cx="804545" cy="1917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К.С. Варава</w:t>
                            </w:r>
                          </w:p>
                        </w:txbxContent>
                      </wps:txbx>
                      <wps:bodyPr wrap="none" lIns="0" tIns="0" rIns="0" bIns="0">
                        <a:noAutoFit/>
                      </wps:bodyPr>
                    </wps:wsp>
                  </a:graphicData>
                </a:graphic>
              </wp:anchor>
            </w:drawing>
          </mc:Choice>
          <mc:Fallback>
            <w:pict>
              <v:shape id="_x0000_s1033" type="#_x0000_t202" style="position:absolute;margin-left:502.40000000000003pt;margin-top:42.5pt;width:63.350000000000001pt;height:15.1pt;z-index:-125829370;mso-wrap-distance-left:20.5pt;mso-wrap-distance-top:41.5pt;mso-wrap-distance-right:9.25pt;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К.С. Варава</w:t>
                      </w:r>
                    </w:p>
                  </w:txbxContent>
                </v:textbox>
                <w10:wrap type="square" side="left" anchorx="page"/>
              </v:shape>
            </w:pict>
          </mc:Fallback>
        </mc:AlternateContent>
      </w:r>
      <w:r>
        <w:rPr>
          <w:rStyle w:val="CharStyle9"/>
        </w:rPr>
        <w:t>Председатель Комиссии</w:t>
      </w:r>
    </w:p>
    <w:p>
      <w:pPr>
        <w:pStyle w:val="Style8"/>
        <w:keepNext w:val="0"/>
        <w:keepLines w:val="0"/>
        <w:widowControl w:val="0"/>
        <w:shd w:val="clear" w:color="auto" w:fill="auto"/>
        <w:bidi w:val="0"/>
        <w:spacing w:before="0" w:after="540" w:line="240" w:lineRule="auto"/>
        <w:ind w:left="0" w:right="0" w:firstLine="0"/>
        <w:jc w:val="both"/>
      </w:pPr>
      <w:r>
        <w:rPr>
          <w:rStyle w:val="CharStyle9"/>
        </w:rPr>
        <w:t>Члены Комиссии</w:t>
      </w:r>
    </w:p>
    <w:p>
      <w:pPr>
        <w:pStyle w:val="Style8"/>
        <w:keepNext w:val="0"/>
        <w:keepLines w:val="0"/>
        <w:widowControl w:val="0"/>
        <w:shd w:val="clear" w:color="auto" w:fill="auto"/>
        <w:bidi w:val="0"/>
        <w:spacing w:before="0" w:after="540" w:line="240" w:lineRule="auto"/>
        <w:ind w:left="0" w:right="0" w:firstLine="0"/>
        <w:jc w:val="right"/>
        <w:sectPr>
          <w:footerReference w:type="default" r:id="rId7"/>
          <w:footerReference w:type="first" r:id="rId8"/>
          <w:footnotePr>
            <w:pos w:val="pageBottom"/>
            <w:numFmt w:val="decimal"/>
            <w:numRestart w:val="continuous"/>
          </w:footnotePr>
          <w:pgSz w:w="11900" w:h="16840"/>
          <w:pgMar w:top="1072" w:right="534" w:bottom="1183" w:left="1098" w:header="0" w:footer="3" w:gutter="0"/>
          <w:pgNumType w:start="1"/>
          <w:cols w:space="720"/>
          <w:noEndnote/>
          <w:titlePg/>
          <w:rtlGutter w:val="0"/>
          <w:docGrid w:linePitch="360"/>
        </w:sectPr>
      </w:pPr>
      <w:r>
        <w:rPr>
          <w:rStyle w:val="CharStyle9"/>
        </w:rPr>
        <w:t>Д.Н. Пелевина</w:t>
      </w:r>
    </w:p>
    <w:p>
      <w:pPr>
        <w:pStyle w:val="Style2"/>
        <w:keepNext w:val="0"/>
        <w:keepLines w:val="0"/>
        <w:widowControl w:val="0"/>
        <w:shd w:val="clear" w:color="auto" w:fill="auto"/>
        <w:bidi w:val="0"/>
        <w:spacing w:before="0" w:after="0" w:line="240" w:lineRule="auto"/>
        <w:ind w:left="0" w:right="0" w:firstLine="0"/>
        <w:jc w:val="left"/>
      </w:pPr>
      <w:r>
        <w:rPr>
          <w:rStyle w:val="CharStyle3"/>
          <w:b/>
          <w:bCs/>
          <w:color w:val="000000"/>
        </w:rPr>
        <w:t xml:space="preserve">Исп.Пелевина Д.Н. тел. </w:t>
      </w:r>
      <w:r>
        <w:rPr>
          <w:rStyle w:val="CharStyle3"/>
          <w:b/>
          <w:bCs/>
          <w:color w:val="000000"/>
          <w:lang w:val="en-US" w:eastAsia="en-US"/>
        </w:rPr>
        <w:t>(391) 211-01-44</w:t>
      </w:r>
    </w:p>
    <w:sectPr>
      <w:footnotePr>
        <w:pos w:val="pageBottom"/>
        <w:numFmt w:val="decimal"/>
        <w:numRestart w:val="continuous"/>
      </w:footnotePr>
      <w:pgSz w:w="11900" w:h="16840"/>
      <w:pgMar w:top="1503" w:right="535" w:bottom="1503"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10013315</wp:posOffset>
              </wp:positionV>
              <wp:extent cx="3267710" cy="106680"/>
              <wp:wrapNone/>
              <wp:docPr id="9" name="Shape 9"/>
              <a:graphic xmlns:a="http://schemas.openxmlformats.org/drawingml/2006/main">
                <a:graphicData uri="http://schemas.microsoft.com/office/word/2010/wordprocessingShape">
                  <wps:wsp>
                    <wps:cNvSpPr txBox="1"/>
                    <wps:spPr>
                      <a:xfrm>
                        <a:ext cx="3267710" cy="106680"/>
                      </a:xfrm>
                      <a:prstGeom prst="rect"/>
                      <a:noFill/>
                    </wps:spPr>
                    <wps:txbx>
                      <w:txbxContent>
                        <w:p>
                          <w:pPr>
                            <w:pStyle w:val="Style10"/>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rStyle w:val="CharStyle11"/>
                              <w:sz w:val="24"/>
                              <w:szCs w:val="24"/>
                            </w:rPr>
                            <w:t>2026-7649</w:t>
                            <w:tab/>
                          </w:r>
                          <w:fldSimple w:instr=" PAGE \* MERGEFORMAT ">
                            <w:r>
                              <w:rPr>
                                <w:rStyle w:val="CharStyle11"/>
                                <w:sz w:val="24"/>
                                <w:szCs w:val="24"/>
                              </w:rPr>
                              <w:t>#</w:t>
                            </w:r>
                          </w:fldSimple>
                        </w:p>
                      </w:txbxContent>
                    </wps:txbx>
                    <wps:bodyPr lIns="0" tIns="0" rIns="0" bIns="0">
                      <a:spAutoFit/>
                    </wps:bodyPr>
                  </wps:wsp>
                </a:graphicData>
              </a:graphic>
            </wp:anchor>
          </w:drawing>
        </mc:Choice>
        <mc:Fallback>
          <w:pict>
            <v:shape id="_x0000_s1035" type="#_x0000_t202" style="position:absolute;margin-left:56.700000000000003pt;margin-top:788.45000000000005pt;width:257.30000000000001pt;height:8.4000000000000004pt;z-index:-188744063;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rStyle w:val="CharStyle11"/>
                        <w:sz w:val="24"/>
                        <w:szCs w:val="24"/>
                      </w:rPr>
                      <w:t>2026-7649</w:t>
                      <w:tab/>
                    </w:r>
                    <w:fldSimple w:instr=" PAGE \* MERGEFORMAT ">
                      <w:r>
                        <w:rPr>
                          <w:rStyle w:val="CharStyle11"/>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10005695</wp:posOffset>
              </wp:positionV>
              <wp:extent cx="650875" cy="105410"/>
              <wp:wrapNone/>
              <wp:docPr id="11" name="Shape 11"/>
              <a:graphic xmlns:a="http://schemas.openxmlformats.org/drawingml/2006/main">
                <a:graphicData uri="http://schemas.microsoft.com/office/word/2010/wordprocessingShape">
                  <wps:wsp>
                    <wps:cNvSpPr txBox="1"/>
                    <wps:spPr>
                      <a:xfrm>
                        <a:ext cx="650875" cy="1054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2026-7649</w:t>
                          </w:r>
                        </w:p>
                      </w:txbxContent>
                    </wps:txbx>
                    <wps:bodyPr wrap="none" lIns="0" tIns="0" rIns="0" bIns="0">
                      <a:spAutoFit/>
                    </wps:bodyPr>
                  </wps:wsp>
                </a:graphicData>
              </a:graphic>
            </wp:anchor>
          </w:drawing>
        </mc:Choice>
        <mc:Fallback>
          <w:pict>
            <v:shape id="_x0000_s1037" type="#_x0000_t202" style="position:absolute;margin-left:56.950000000000003pt;margin-top:787.85000000000002pt;width:51.25pt;height:8.3000000000000007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2026-7649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3F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3F61A9"/>
      <w:sz w:val="19"/>
      <w:szCs w:val="19"/>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280" w:line="276" w:lineRule="auto"/>
      <w:jc w:val="center"/>
    </w:pPr>
    <w:rPr>
      <w:rFonts w:ascii="Times New Roman" w:eastAsia="Times New Roman" w:hAnsi="Times New Roman" w:cs="Times New Roman"/>
      <w:b w:val="0"/>
      <w:bCs w:val="0"/>
      <w:i w:val="0"/>
      <w:iCs w:val="0"/>
      <w:smallCaps w:val="0"/>
      <w:strike w:val="0"/>
      <w:color w:val="3F61A9"/>
      <w:sz w:val="16"/>
      <w:szCs w:val="16"/>
      <w:u w:val="none"/>
    </w:rPr>
  </w:style>
  <w:style w:type="paragraph" w:customStyle="1" w:styleId="Style5">
    <w:name w:val="Body text (3)"/>
    <w:basedOn w:val="Normal"/>
    <w:link w:val="CharStyle6"/>
    <w:pPr>
      <w:widowControl w:val="0"/>
      <w:shd w:val="clear" w:color="auto" w:fill="auto"/>
      <w:spacing w:after="200" w:line="250" w:lineRule="auto"/>
      <w:jc w:val="center"/>
    </w:pPr>
    <w:rPr>
      <w:rFonts w:ascii="Times New Roman" w:eastAsia="Times New Roman" w:hAnsi="Times New Roman" w:cs="Times New Roman"/>
      <w:b/>
      <w:bCs/>
      <w:i w:val="0"/>
      <w:iCs w:val="0"/>
      <w:smallCaps w:val="0"/>
      <w:strike w:val="0"/>
      <w:color w:val="3F61A9"/>
      <w:sz w:val="19"/>
      <w:szCs w:val="19"/>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26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standalone="yes"?>
<cp:coreProperties xmlns:cp="http://schemas.openxmlformats.org/package/2006/metadata/core-properties" xmlns:dc="http://purl.org/dc/elements/1.1/"><dc:title>2026-7649_0_ 5H5=85 &#x16; 02406105-15572026.odt</dc:title><dc:subject></dc:subject><dc:creator>&#x1f;5;528=0 &#x14;0@LO &#x1d;8:&gt;;052=0</dc:creator><cp:keywords></cp:keywords>
</cp:coreProperties>
</file>