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МЕЖРЕГИОНАЛЬНОЕ УПРАВЛЕНИЕ</w:t>
        <w:br/>
        <w:t>Федеральной антимонопольной службы</w:t>
        <w:br/>
        <w:t>по Республике Крым и городу Севастополю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Александра Невского,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</w:rPr>
        <w:t>Симферополь, Республика Крым, 295000</w:t>
        <w:br/>
        <w:t>тел. (499) 755-23-23 доб. 082-100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"mailto:to82@fas.gov.ru" </w:instrText>
      </w:r>
      <w:r>
        <w:fldChar w:fldCharType="separate"/>
      </w:r>
      <w:r>
        <w:rPr>
          <w:rStyle w:val="CharStyle3"/>
          <w:lang w:val="en-US" w:eastAsia="en-US"/>
        </w:rPr>
        <w:t>to82@fas.gov.ru</w:t>
      </w:r>
      <w:r>
        <w:fldChar w:fldCharType="end"/>
      </w:r>
    </w:p>
    <w:p>
      <w:pPr>
        <w:pStyle w:val="Style7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8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8"/>
        </w:rPr>
        <w:t>2,05.2026</w:t>
      </w:r>
      <w:r>
        <w:rPr>
          <w:rStyle w:val="CharStyle8"/>
          <w:u w:val="none"/>
        </w:rPr>
        <w:tab/>
      </w:r>
      <w:r>
        <w:fldChar w:fldCharType="end"/>
      </w:r>
      <w:r>
        <w:rPr>
          <w:rStyle w:val="CharStyle8"/>
          <w:u w:val="none"/>
        </w:rPr>
        <w:t xml:space="preserve">№ </w:t>
      </w:r>
      <w:r>
        <w:rPr>
          <w:rStyle w:val="CharStyle8"/>
        </w:rPr>
        <w:t>АР/6580/26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both"/>
        <w:rPr>
          <w:sz w:val="18"/>
          <w:szCs w:val="18"/>
        </w:rPr>
      </w:pPr>
      <w:r>
        <w:rPr>
          <w:rStyle w:val="CharStyle6"/>
          <w:sz w:val="18"/>
          <w:szCs w:val="18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2"/>
          <w:sz w:val="24"/>
          <w:szCs w:val="24"/>
        </w:rPr>
        <w:t>Решение по делу №082/06/105 962/2026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Оператор электронной площадки: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ООО «РТС-тендер»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г. Москва, наб. Тараса Шевченко, д. 23А,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 xml:space="preserve">25 этаж, помещение 1, 121151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2"/>
          <w:lang w:val="en-US" w:eastAsia="en-US"/>
        </w:rPr>
        <w:t>ko@rts-tender.ru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Заявитель: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ИП Юферов Олег Игоревич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Костромская обл., пгт. Поназырево, пр-кт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 xml:space="preserve">Шатрова, д. 3, кв. 1, 157580 </w:t>
      </w:r>
      <w:r>
        <w:fldChar w:fldCharType="begin"/>
      </w:r>
      <w:r>
        <w:rPr/>
        <w:instrText> HYPERLINK "mailto:tendernyyo@mail.ru" </w:instrText>
      </w:r>
      <w:r>
        <w:fldChar w:fldCharType="separate"/>
      </w:r>
      <w:r>
        <w:rPr>
          <w:rStyle w:val="CharStyle12"/>
          <w:lang w:val="en-US" w:eastAsia="en-US"/>
        </w:rPr>
        <w:t>tendernyyo@mail.ru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Заказчик: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Администрация Симферопольского района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Республики Крым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647" w:bottom="866" w:left="1135" w:header="0" w:footer="3" w:gutter="0"/>
          <w:pgNumType w:start="1"/>
          <w:cols w:num="2" w:space="720" w:equalWidth="0">
            <w:col w:w="4186" w:space="1085"/>
            <w:col w:w="4848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Республика Крым, Симферопольский р-н, с. Мирное, ул Белова, д. 3, 297505 </w:t>
      </w:r>
      <w:r>
        <w:fldChar w:fldCharType="begin"/>
      </w:r>
      <w:r>
        <w:rPr/>
        <w:instrText> HYPERLINK "mailto:zakupki@simfmo.rk.gov.ru" </w:instrText>
      </w:r>
      <w:r>
        <w:fldChar w:fldCharType="separate"/>
      </w:r>
      <w:r>
        <w:rPr>
          <w:rStyle w:val="CharStyle12"/>
          <w:lang w:val="en-US" w:eastAsia="en-US"/>
        </w:rPr>
        <w:t>zakupki@simfmo.rk.gov.ru</w:t>
      </w:r>
      <w:r>
        <w:fldChar w:fldCharType="end"/>
      </w: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0" w:bottom="18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по делу №082/06/105-962/2026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о нарушении законодательства Российской Федерации</w:t>
        <w:br/>
        <w:t>о контрактной системе в сфере 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6091555</wp:posOffset>
                </wp:positionH>
                <wp:positionV relativeFrom="paragraph">
                  <wp:posOffset>12700</wp:posOffset>
                </wp:positionV>
                <wp:extent cx="1094105" cy="225425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г. Симферополь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79.65000000000003pt;margin-top:1.pt;width:86.150000000000006pt;height:17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2"/>
                          <w:sz w:val="24"/>
                          <w:szCs w:val="24"/>
                        </w:rPr>
                        <w:t>г. Симферополь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  <w:sz w:val="24"/>
          <w:szCs w:val="24"/>
        </w:rPr>
        <w:t>Резолютивная часть решения оглашена 19.05.2026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2"/>
          <w:sz w:val="24"/>
          <w:szCs w:val="24"/>
        </w:rPr>
        <w:t>Решение в полном объеме изготовлено 22.05.2026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Комиссия по контролю в сфере закупок товаров, работ, услуг Межрегионального Управления Федеральной антимонопольной службы по Республике Крым и городу Севастополю (Крымское межрегиональное УФАС России) (далее –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председатель Комиссии – заместитель руководителя Крымского межрегионального УФАС России А.П. Рудакова,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консультант отдела контроля закупок Крымского межрегионального УФАС России Э.С. Аджислямова,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главный специалист-эксперт отдела контроля закупок Крымского межрегионального УФАС России Э.Л. Халилова,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при участии представителей интересов: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- Администрация Симферопольского района Республики Крым (далее – Заказчик) – А.Я. Богатая (по доверенности),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– ИП Юферов Олег Игоревич (далее – Заявитель) – А.В. Пирогова (по доверенности),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2"/>
        </w:rPr>
        <w:t>рассмотрев жалобу Заявителя (вх.№9137/26 от 13.05.2026) на действия Заказчика при проведении запроса котировок в электронной форме «Приобретение жилого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9"/>
        </w:rPr>
        <w:t>1IIIIIIIIIIIIIIIIIIIIIII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2"/>
          <w:sz w:val="24"/>
          <w:szCs w:val="24"/>
        </w:rPr>
        <w:t>2026-7478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2"/>
        </w:rPr>
        <w:t xml:space="preserve">помещения в муниципальную собственность на территории Симферопольского района для предоставления детям-сиротам и детям, оставшимся без попечения родителей, лицам из их числа по договорам найма специализированных жилых помещений» (извещение </w:t>
      </w:r>
      <w:r>
        <w:rPr>
          <w:rStyle w:val="CharStyle12"/>
          <w:lang w:val="en-US" w:eastAsia="en-US"/>
        </w:rPr>
        <w:t xml:space="preserve">№0175300037226000020)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Закупка), в соответствии со статьей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4620" w:right="0" w:firstLine="0"/>
        <w:jc w:val="both"/>
      </w:pPr>
      <w:r>
        <w:rPr>
          <w:rStyle w:val="CharStyle12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Крымское межрегиональное УФАС России поступила жалоба Заявителя на действия Заказчика при проведении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По мнению Заявителя, его права и законные интересы нарушены действиями комиссии Заказчика, отклонившей заявку Заявителя на основании несоответствия требованиям извещения о закупке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50 </w:t>
      </w:r>
      <w:r>
        <w:rPr>
          <w:rStyle w:val="CharStyle12"/>
        </w:rPr>
        <w:t xml:space="preserve">Закона о контрактной системе заявка на участие в закупке должна содержать информацию и документы, предусмотренные подпунктами "м"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"п" пункта </w:t>
      </w:r>
      <w:r>
        <w:rPr>
          <w:rStyle w:val="CharStyle12"/>
          <w:lang w:val="en-US" w:eastAsia="en-US"/>
        </w:rPr>
        <w:t xml:space="preserve">1, </w:t>
      </w:r>
      <w:r>
        <w:rPr>
          <w:rStyle w:val="CharStyle12"/>
        </w:rPr>
        <w:t xml:space="preserve">подпунктами "а"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"в" пункта </w:t>
      </w:r>
      <w:r>
        <w:rPr>
          <w:rStyle w:val="CharStyle12"/>
          <w:lang w:val="en-US" w:eastAsia="en-US"/>
        </w:rPr>
        <w:t xml:space="preserve">2, </w:t>
      </w: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или пунктом </w:t>
      </w:r>
      <w:r>
        <w:rPr>
          <w:rStyle w:val="CharStyle12"/>
          <w:lang w:val="en-US" w:eastAsia="en-US"/>
        </w:rPr>
        <w:t xml:space="preserve">4, </w:t>
      </w: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настоящего Федерального закона. Заявка также может содержать информацию и документы, предусмотренные подпунктом "д" пункта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50 </w:t>
      </w:r>
      <w:r>
        <w:rPr>
          <w:rStyle w:val="CharStyle12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члены комиссии по осуществлению закупок: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2"/>
          <w:lang w:val="en-US" w:eastAsia="en-US"/>
        </w:rPr>
        <w:t xml:space="preserve">1 - 8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22 </w:t>
      </w:r>
      <w:r>
        <w:rPr>
          <w:rStyle w:val="CharStyle12"/>
        </w:rPr>
        <w:t xml:space="preserve">настоящего Федерального закона), предложенных участником закупки, подавшим такую заявку, с учетом положений нормативных правовых актов, принятых в соответствии со статьей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настоящего Федерального закона. 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 участие в закупке содержатся одинаковые предложения, предусмотренные пунктом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или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настоящего Федерального закона, меньший порядковый номер присваивается заявке на участие в закупке, которая поступила ранее других таких заявок;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5" w:val="left"/>
        </w:tabs>
        <w:bidi w:val="0"/>
        <w:spacing w:before="0" w:after="200" w:line="240" w:lineRule="auto"/>
        <w:ind w:left="0" w:right="0" w:firstLine="720"/>
        <w:jc w:val="both"/>
      </w:pPr>
      <w:r>
        <w:rPr>
          <w:rStyle w:val="CharStyle12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2"/>
          <w:lang w:val="en-US" w:eastAsia="en-US"/>
        </w:rPr>
        <w:t xml:space="preserve">1, 2, 4 - 7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>48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пунктами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2"/>
          <w:lang w:val="en-US" w:eastAsia="en-US"/>
        </w:rPr>
        <w:t xml:space="preserve">1.1, 2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настоящего Федерального закона);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пунктом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 xml:space="preserve">года </w:t>
      </w:r>
      <w:r>
        <w:rPr>
          <w:rStyle w:val="CharStyle12"/>
          <w:lang w:val="en-US" w:eastAsia="en-US"/>
        </w:rPr>
        <w:t xml:space="preserve">N </w:t>
      </w:r>
      <w:r>
        <w:rPr>
          <w:rStyle w:val="CharStyle12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предусмотренных частью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45 </w:t>
      </w:r>
      <w:r>
        <w:rPr>
          <w:rStyle w:val="CharStyle12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выявления недостоверной информации, содержащейся в заявке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жалобе Заявителя: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2"/>
          <w:i/>
          <w:iCs/>
        </w:rPr>
        <w:t>«</w:t>
      </w:r>
      <w:r>
        <w:rPr>
          <w:rStyle w:val="CharStyle12"/>
          <w:i/>
          <w:iCs/>
          <w:sz w:val="24"/>
          <w:szCs w:val="24"/>
        </w:rPr>
        <w:t xml:space="preserve">Согласно Протоколу подведения итогов от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12.05.2026 </w:t>
      </w:r>
      <w:r>
        <w:rPr>
          <w:rStyle w:val="CharStyle12"/>
          <w:i/>
          <w:iCs/>
          <w:sz w:val="24"/>
          <w:szCs w:val="24"/>
        </w:rPr>
        <w:t>г. Заявка Заявителя была отклонена по следующему основанию: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 xml:space="preserve">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2 </w:t>
      </w:r>
      <w:r>
        <w:rPr>
          <w:rStyle w:val="CharStyle12"/>
          <w:i/>
          <w:iCs/>
          <w:sz w:val="24"/>
          <w:szCs w:val="24"/>
        </w:rPr>
        <w:t xml:space="preserve">и </w:t>
      </w:r>
      <w:r>
        <w:rPr>
          <w:rStyle w:val="CharStyle12"/>
          <w:i/>
          <w:iCs/>
          <w:sz w:val="24"/>
          <w:szCs w:val="24"/>
          <w:lang w:val="en-US" w:eastAsia="en-US"/>
        </w:rPr>
        <w:t>3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73" w:val="left"/>
        </w:tabs>
        <w:bidi w:val="0"/>
        <w:spacing w:before="0" w:after="0" w:line="252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  <w:lang w:val="en-US" w:eastAsia="en-US"/>
        </w:rPr>
        <w:t xml:space="preserve">6 </w:t>
      </w:r>
      <w:r>
        <w:rPr>
          <w:rStyle w:val="CharStyle12"/>
          <w:i/>
          <w:iCs/>
          <w:sz w:val="24"/>
          <w:szCs w:val="24"/>
        </w:rPr>
        <w:t xml:space="preserve">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43 </w:t>
      </w:r>
      <w:r>
        <w:rPr>
          <w:rStyle w:val="CharStyle12"/>
          <w:i/>
          <w:iCs/>
          <w:sz w:val="24"/>
          <w:szCs w:val="24"/>
        </w:rPr>
        <w:t xml:space="preserve">Закона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№44 </w:t>
      </w:r>
      <w:r>
        <w:rPr>
          <w:rStyle w:val="CharStyle12"/>
          <w:i/>
          <w:iCs/>
          <w:sz w:val="24"/>
          <w:szCs w:val="24"/>
        </w:rPr>
        <w:t xml:space="preserve">ФЗ) (Отклонение по п.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 </w:t>
      </w:r>
      <w:r>
        <w:rPr>
          <w:rStyle w:val="CharStyle12"/>
          <w:i/>
          <w:iCs/>
          <w:sz w:val="24"/>
          <w:szCs w:val="24"/>
        </w:rPr>
        <w:t xml:space="preserve">ч.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12 </w:t>
      </w:r>
      <w:r>
        <w:rPr>
          <w:rStyle w:val="CharStyle12"/>
          <w:i/>
          <w:iCs/>
          <w:sz w:val="24"/>
          <w:szCs w:val="24"/>
        </w:rPr>
        <w:t xml:space="preserve">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48 </w:t>
      </w:r>
      <w:r>
        <w:rPr>
          <w:rStyle w:val="CharStyle12"/>
          <w:i/>
          <w:iCs/>
          <w:sz w:val="24"/>
          <w:szCs w:val="24"/>
        </w:rPr>
        <w:t xml:space="preserve">Закона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№ 44 </w:t>
      </w:r>
      <w:r>
        <w:rPr>
          <w:rStyle w:val="CharStyle12"/>
          <w:i/>
          <w:iCs/>
          <w:sz w:val="24"/>
          <w:szCs w:val="24"/>
        </w:rPr>
        <w:t>ФЗ)».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>При этом, указанный Протокол подведения итогов не содержит: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2" w:val="left"/>
        </w:tabs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>указания конкретных положений извещения, которым не соответствует заявка;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87" w:val="left"/>
        </w:tabs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>указания конкретных документов и сведений, которые, по мнению комиссии, не представлены;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2" w:val="left"/>
        </w:tabs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>указания конкретных положений заявки, которые не соответствуют извещению.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>Таким образом, требуемое законом обоснование отклонения Заявки Заявителя отсутствует.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>В силу требований к содержанию протокола, протокол подведения итогов должен содержать, в отношении каждой заявки, решение и обоснование с указанием: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2" w:val="left"/>
        </w:tabs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 xml:space="preserve">положений Федерального закона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№ 44 </w:t>
      </w:r>
      <w:r>
        <w:rPr>
          <w:rStyle w:val="CharStyle12"/>
          <w:i/>
          <w:iCs/>
          <w:sz w:val="24"/>
          <w:szCs w:val="24"/>
        </w:rPr>
        <w:t>ФЗ,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2" w:val="left"/>
        </w:tabs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>положений извещения,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02" w:val="left"/>
        </w:tabs>
        <w:bidi w:val="0"/>
        <w:spacing w:before="0" w:after="0" w:line="252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>положений заявки,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>которым заявка не соответствует.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 xml:space="preserve">Указанное прямо предусмотрено п.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2 </w:t>
      </w:r>
      <w:r>
        <w:rPr>
          <w:rStyle w:val="CharStyle12"/>
          <w:i/>
          <w:iCs/>
          <w:sz w:val="24"/>
          <w:szCs w:val="24"/>
        </w:rPr>
        <w:t xml:space="preserve">ч.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17 </w:t>
      </w:r>
      <w:r>
        <w:rPr>
          <w:rStyle w:val="CharStyle12"/>
          <w:i/>
          <w:iCs/>
          <w:sz w:val="24"/>
          <w:szCs w:val="24"/>
        </w:rPr>
        <w:t xml:space="preserve">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48 </w:t>
      </w:r>
      <w:r>
        <w:rPr>
          <w:rStyle w:val="CharStyle12"/>
          <w:i/>
          <w:iCs/>
          <w:sz w:val="24"/>
          <w:szCs w:val="24"/>
        </w:rPr>
        <w:t xml:space="preserve">Федерального закона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№ 44 </w:t>
      </w:r>
      <w:r>
        <w:rPr>
          <w:rStyle w:val="CharStyle12"/>
          <w:i/>
          <w:iCs/>
          <w:sz w:val="24"/>
          <w:szCs w:val="24"/>
        </w:rPr>
        <w:t>ФЗ: протокол должен содержать информацию о решении об отклонении заявки с обоснованием и указанием, каким положениям закона, извещения не соответствует заявка и какие положения заявки не соответствуют извещению.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 xml:space="preserve">Фактически же Заказчик ограничился общей формулировкой «непредставление информации и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документов…» </w:t>
      </w:r>
      <w:r>
        <w:rPr>
          <w:rStyle w:val="CharStyle12"/>
          <w:i/>
          <w:iCs/>
          <w:sz w:val="24"/>
          <w:szCs w:val="24"/>
        </w:rPr>
        <w:t>без какой-либо конкретизации, что делает невозможным проверку законности отклонения и нарушает принципы прозрачности и объективности.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>Дополнительно отмечаем, что такое «обоснование» не позволяет Заявителю реализовать право на эффективную защиту (в том числе подачу мотивированной жалобы) поскольку не ясно, что именно признано отсутствующим.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>Необоснованное (формальное) отклонение заявки нарушает принципы контрактной системы.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 xml:space="preserve">Согласно 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8 </w:t>
      </w:r>
      <w:r>
        <w:rPr>
          <w:rStyle w:val="CharStyle12"/>
          <w:i/>
          <w:iCs/>
          <w:sz w:val="24"/>
          <w:szCs w:val="24"/>
        </w:rPr>
        <w:t xml:space="preserve">Федерального закона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№ 44 </w:t>
      </w:r>
      <w:r>
        <w:rPr>
          <w:rStyle w:val="CharStyle12"/>
          <w:i/>
          <w:iCs/>
          <w:sz w:val="24"/>
          <w:szCs w:val="24"/>
        </w:rPr>
        <w:t>ФЗ контрактная система основывается на принципах обеспечения конкуренции, открытости и прозрачности информации, а также ответственности за результативность закупок. Формальный подход к отклонению заявки без конкретных причин противоречит данным принципам.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  <w:i/>
          <w:iCs/>
          <w:sz w:val="24"/>
          <w:szCs w:val="24"/>
        </w:rPr>
        <w:t xml:space="preserve">Отклонение заявки Заявителя оформлено протоколом, который не соответствует требованиям п.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2 </w:t>
      </w:r>
      <w:r>
        <w:rPr>
          <w:rStyle w:val="CharStyle12"/>
          <w:i/>
          <w:iCs/>
          <w:sz w:val="24"/>
          <w:szCs w:val="24"/>
        </w:rPr>
        <w:t xml:space="preserve">ч.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17 </w:t>
      </w:r>
      <w:r>
        <w:rPr>
          <w:rStyle w:val="CharStyle12"/>
          <w:i/>
          <w:iCs/>
          <w:sz w:val="24"/>
          <w:szCs w:val="24"/>
        </w:rPr>
        <w:t xml:space="preserve">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48 </w:t>
      </w:r>
      <w:r>
        <w:rPr>
          <w:rStyle w:val="CharStyle12"/>
          <w:i/>
          <w:iCs/>
          <w:sz w:val="24"/>
          <w:szCs w:val="24"/>
        </w:rPr>
        <w:t xml:space="preserve">Закона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№ 44 </w:t>
      </w:r>
      <w:r>
        <w:rPr>
          <w:rStyle w:val="CharStyle12"/>
          <w:i/>
          <w:iCs/>
          <w:sz w:val="24"/>
          <w:szCs w:val="24"/>
        </w:rPr>
        <w:t>ФЗ, поскольку не содержит надлежащего обоснования отклонения и конкретизации несоответствий.</w:t>
      </w:r>
      <w:r>
        <w:rPr>
          <w:rStyle w:val="CharStyle12"/>
          <w:i/>
          <w:iCs/>
        </w:rPr>
        <w:t>».</w:t>
      </w:r>
      <w:r>
        <w:rPr>
          <w:rStyle w:val="CharStyle12"/>
        </w:rPr>
        <w:t xml:space="preserve"> (выдержка из жалобы Заявителя)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60"/>
        <w:jc w:val="both"/>
      </w:pPr>
      <w:r>
        <w:rPr>
          <w:rStyle w:val="CharStyle12"/>
        </w:rPr>
        <w:t>Представитель Заказчика не согласилась с доводами Заявителя и сообщила, что комиссия Заказчика действовала в соответствии с документацией о проведении Закупки и положениями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60"/>
        <w:jc w:val="both"/>
      </w:pPr>
      <w:r>
        <w:rPr>
          <w:rStyle w:val="CharStyle12"/>
        </w:rPr>
        <w:t>Заказчик направил возражения следующего содержания: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lang w:val="en-US" w:eastAsia="en-US"/>
        </w:rPr>
        <w:t>«</w:t>
      </w:r>
      <w:r>
        <w:rPr>
          <w:rStyle w:val="CharStyle12"/>
          <w:i/>
          <w:iCs/>
          <w:sz w:val="24"/>
          <w:szCs w:val="24"/>
          <w:lang w:val="en-US" w:eastAsia="en-US"/>
        </w:rPr>
        <w:t>...</w:t>
      </w:r>
      <w:r>
        <w:rPr>
          <w:rStyle w:val="CharStyle12"/>
          <w:i/>
          <w:iCs/>
          <w:sz w:val="24"/>
          <w:szCs w:val="24"/>
        </w:rPr>
        <w:t xml:space="preserve">Согласно протоколу, заявка Заявителя идентификационный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№ 121194450 </w:t>
      </w:r>
      <w:r>
        <w:rPr>
          <w:rStyle w:val="CharStyle12"/>
          <w:i/>
          <w:iCs/>
          <w:sz w:val="24"/>
          <w:szCs w:val="24"/>
        </w:rPr>
        <w:t>Заявителя была отклонена по следующему основанию: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 xml:space="preserve">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2 </w:t>
      </w:r>
      <w:r>
        <w:rPr>
          <w:rStyle w:val="CharStyle12"/>
          <w:i/>
          <w:iCs/>
          <w:sz w:val="24"/>
          <w:szCs w:val="24"/>
        </w:rPr>
        <w:t xml:space="preserve">и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3 </w:t>
      </w:r>
      <w:r>
        <w:rPr>
          <w:rStyle w:val="CharStyle12"/>
          <w:i/>
          <w:iCs/>
          <w:sz w:val="24"/>
          <w:szCs w:val="24"/>
        </w:rPr>
        <w:t xml:space="preserve">ч.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6 </w:t>
      </w:r>
      <w:r>
        <w:rPr>
          <w:rStyle w:val="CharStyle12"/>
          <w:i/>
          <w:iCs/>
          <w:sz w:val="24"/>
          <w:szCs w:val="24"/>
        </w:rPr>
        <w:t xml:space="preserve">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43 </w:t>
      </w:r>
      <w:r>
        <w:rPr>
          <w:rStyle w:val="CharStyle12"/>
          <w:i/>
          <w:iCs/>
          <w:sz w:val="24"/>
          <w:szCs w:val="24"/>
        </w:rPr>
        <w:t xml:space="preserve">Закона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№44 </w:t>
      </w:r>
      <w:r>
        <w:rPr>
          <w:rStyle w:val="CharStyle12"/>
          <w:i/>
          <w:iCs/>
          <w:sz w:val="24"/>
          <w:szCs w:val="24"/>
        </w:rPr>
        <w:t xml:space="preserve">ФЗ) (Отклонение по п.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 </w:t>
      </w:r>
      <w:r>
        <w:rPr>
          <w:rStyle w:val="CharStyle12"/>
          <w:i/>
          <w:iCs/>
          <w:sz w:val="24"/>
          <w:szCs w:val="24"/>
        </w:rPr>
        <w:t xml:space="preserve">ч.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12 </w:t>
      </w:r>
      <w:r>
        <w:rPr>
          <w:rStyle w:val="CharStyle12"/>
          <w:i/>
          <w:iCs/>
          <w:sz w:val="24"/>
          <w:szCs w:val="24"/>
        </w:rPr>
        <w:t xml:space="preserve">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48 </w:t>
      </w:r>
      <w:r>
        <w:rPr>
          <w:rStyle w:val="CharStyle12"/>
          <w:i/>
          <w:iCs/>
          <w:sz w:val="24"/>
          <w:szCs w:val="24"/>
        </w:rPr>
        <w:t xml:space="preserve">Закона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№ 44 </w:t>
      </w:r>
      <w:r>
        <w:rPr>
          <w:rStyle w:val="CharStyle12"/>
          <w:i/>
          <w:iCs/>
          <w:sz w:val="24"/>
          <w:szCs w:val="24"/>
        </w:rPr>
        <w:t>ФЗ)».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>Согласно требования к содержанию и составу заявки на участие в части предложения 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6" w:val="left"/>
        </w:tabs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 xml:space="preserve">документ, подтверждающий право собственности на жилое помещение (владение правом собственности на товар, являющийся предметом закупки (основание: 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131 </w:t>
      </w:r>
      <w:r>
        <w:rPr>
          <w:rStyle w:val="CharStyle12"/>
          <w:i/>
          <w:iCs/>
          <w:sz w:val="24"/>
          <w:szCs w:val="24"/>
        </w:rPr>
        <w:t xml:space="preserve">Гражданского Кодекса РФ и 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18 </w:t>
      </w:r>
      <w:r>
        <w:rPr>
          <w:rStyle w:val="CharStyle12"/>
          <w:i/>
          <w:iCs/>
          <w:sz w:val="24"/>
          <w:szCs w:val="24"/>
        </w:rPr>
        <w:t>Жилищного Кодекса РФ);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6" w:val="left"/>
        </w:tabs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 xml:space="preserve">в случае, если участник закупки является представителем собственника жилого помещения, то в составе заявки предоставляется нотариальная доверенность от имени собственника жилого помещения на совершение всех необходимых действий в отношении жилого помещения с правом подписания муниципального контракта, а также документ подтверждающий право собственности на жилое помещение (владение правом собственности на товар, являющийся предметом закупки (основание: 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131 </w:t>
      </w:r>
      <w:r>
        <w:rPr>
          <w:rStyle w:val="CharStyle12"/>
          <w:i/>
          <w:iCs/>
          <w:sz w:val="24"/>
          <w:szCs w:val="24"/>
        </w:rPr>
        <w:t xml:space="preserve">Гражданского Кодекса РФ и 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18 </w:t>
      </w:r>
      <w:r>
        <w:rPr>
          <w:rStyle w:val="CharStyle12"/>
          <w:i/>
          <w:iCs/>
          <w:sz w:val="24"/>
          <w:szCs w:val="24"/>
        </w:rPr>
        <w:t>Жилищного Кодекса РФ);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7" w:val="left"/>
        </w:tabs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>копия выписки из Единого государственного реестра недвижимости об основных характеристиках и зарегистрированных правах на объект недвижимости (или иной аналогичный документ).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 xml:space="preserve">В заявке с идентификационным номером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121194450 </w:t>
      </w:r>
      <w:r>
        <w:rPr>
          <w:rStyle w:val="CharStyle12"/>
          <w:i/>
          <w:iCs/>
          <w:sz w:val="24"/>
          <w:szCs w:val="24"/>
        </w:rPr>
        <w:t xml:space="preserve">участник ИП ЮФЕРОВ ОЛЕГ ИГОРЕВИЧ ИНН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4*11 </w:t>
      </w:r>
      <w:r>
        <w:rPr>
          <w:rStyle w:val="CharStyle12"/>
          <w:i/>
          <w:iCs/>
          <w:sz w:val="24"/>
          <w:szCs w:val="24"/>
        </w:rPr>
        <w:t xml:space="preserve">отсутствуют документы подтверждающие право собственности на жилое помещение (владение правом собственности на товар, являющийся предметом закупки (основание: 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131 </w:t>
      </w:r>
      <w:r>
        <w:rPr>
          <w:rStyle w:val="CharStyle12"/>
          <w:i/>
          <w:iCs/>
          <w:sz w:val="24"/>
          <w:szCs w:val="24"/>
        </w:rPr>
        <w:t xml:space="preserve">Гражданского Кодекса РФ и 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18 </w:t>
      </w:r>
      <w:r>
        <w:rPr>
          <w:rStyle w:val="CharStyle12"/>
          <w:i/>
          <w:iCs/>
          <w:sz w:val="24"/>
          <w:szCs w:val="24"/>
        </w:rPr>
        <w:t>Жилищного Кодекса РФ);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 xml:space="preserve">12.05.2026г. ИП ЮФЕРОВ ОЛЕГ ИГОРЕВИЧ ИНН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4*11 </w:t>
      </w:r>
      <w:r>
        <w:rPr>
          <w:rStyle w:val="CharStyle12"/>
          <w:i/>
          <w:iCs/>
          <w:sz w:val="24"/>
          <w:szCs w:val="24"/>
        </w:rPr>
        <w:t>подал запрос о даче разъяснений результатов рассмотрения заявки, в ответ было отправлено разъяснение результатов рассмотрения заявки с приложением «Требования к содержанию и составу заявки» в котором для удобства поставщиков выделено жирным текстом необходимые документы.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</w:pPr>
      <w:r>
        <w:rPr>
          <w:rStyle w:val="CharStyle12"/>
          <w:i/>
          <w:iCs/>
          <w:sz w:val="24"/>
          <w:szCs w:val="24"/>
        </w:rPr>
        <w:t>На основании вышеизложенного с доводами жалобы заявителя полностью не согласны.</w:t>
      </w:r>
      <w:r>
        <w:rPr>
          <w:rStyle w:val="CharStyle12"/>
          <w:i/>
          <w:iCs/>
        </w:rPr>
        <w:t>».</w:t>
      </w:r>
      <w:r>
        <w:rPr>
          <w:rStyle w:val="CharStyle12"/>
        </w:rPr>
        <w:t>(выдержка из возражений Заказчика)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60"/>
        <w:jc w:val="both"/>
      </w:pPr>
      <w:r>
        <w:rPr>
          <w:rStyle w:val="CharStyle12"/>
        </w:rPr>
        <w:t>Комиссия Крымского межрегионального УФАС России, изучив доводы сторон и представленные материалы дела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12.05.2026 </w:t>
      </w:r>
      <w:r>
        <w:rPr>
          <w:rStyle w:val="CharStyle12"/>
        </w:rPr>
        <w:t xml:space="preserve">№ИЗК1, заявка с идентификационным номером </w:t>
      </w:r>
      <w:r>
        <w:rPr>
          <w:rStyle w:val="CharStyle12"/>
          <w:lang w:val="en-US" w:eastAsia="en-US"/>
        </w:rPr>
        <w:t xml:space="preserve">№121194450 </w:t>
      </w:r>
      <w:r>
        <w:rPr>
          <w:rStyle w:val="CharStyle12"/>
        </w:rPr>
        <w:t xml:space="preserve">(заявка Заявителя) была отклонена по причине: </w:t>
      </w:r>
      <w:r>
        <w:rPr>
          <w:rStyle w:val="CharStyle12"/>
          <w:i/>
          <w:iCs/>
        </w:rPr>
        <w:t>«</w:t>
      </w:r>
      <w:r>
        <w:rPr>
          <w:rStyle w:val="CharStyle12"/>
          <w:i/>
          <w:iCs/>
          <w:sz w:val="24"/>
          <w:szCs w:val="24"/>
        </w:rPr>
        <w:t xml:space="preserve"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2 </w:t>
      </w:r>
      <w:r>
        <w:rPr>
          <w:rStyle w:val="CharStyle12"/>
          <w:i/>
          <w:iCs/>
          <w:sz w:val="24"/>
          <w:szCs w:val="24"/>
        </w:rPr>
        <w:t xml:space="preserve">и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3 </w:t>
      </w:r>
      <w:r>
        <w:rPr>
          <w:rStyle w:val="CharStyle12"/>
          <w:i/>
          <w:iCs/>
          <w:sz w:val="24"/>
          <w:szCs w:val="24"/>
        </w:rPr>
        <w:t xml:space="preserve">ч.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6 </w:t>
      </w:r>
      <w:r>
        <w:rPr>
          <w:rStyle w:val="CharStyle12"/>
          <w:i/>
          <w:iCs/>
          <w:sz w:val="24"/>
          <w:szCs w:val="24"/>
        </w:rPr>
        <w:t xml:space="preserve">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43 </w:t>
      </w:r>
      <w:r>
        <w:rPr>
          <w:rStyle w:val="CharStyle12"/>
          <w:i/>
          <w:iCs/>
          <w:sz w:val="24"/>
          <w:szCs w:val="24"/>
        </w:rPr>
        <w:t xml:space="preserve">Закона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№44 </w:t>
      </w:r>
      <w:r>
        <w:rPr>
          <w:rStyle w:val="CharStyle12"/>
          <w:i/>
          <w:iCs/>
          <w:sz w:val="24"/>
          <w:szCs w:val="24"/>
        </w:rPr>
        <w:t xml:space="preserve">ФЗ) (Отклонение по п.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 </w:t>
      </w:r>
      <w:r>
        <w:rPr>
          <w:rStyle w:val="CharStyle12"/>
          <w:i/>
          <w:iCs/>
          <w:sz w:val="24"/>
          <w:szCs w:val="24"/>
        </w:rPr>
        <w:t xml:space="preserve">ч.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12 </w:t>
      </w:r>
      <w:r>
        <w:rPr>
          <w:rStyle w:val="CharStyle12"/>
          <w:i/>
          <w:iCs/>
          <w:sz w:val="24"/>
          <w:szCs w:val="24"/>
        </w:rPr>
        <w:t xml:space="preserve">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48 </w:t>
      </w:r>
      <w:r>
        <w:rPr>
          <w:rStyle w:val="CharStyle12"/>
          <w:i/>
          <w:iCs/>
          <w:sz w:val="24"/>
          <w:szCs w:val="24"/>
        </w:rPr>
        <w:t xml:space="preserve">Закона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№ </w:t>
      </w:r>
      <w:r>
        <w:rPr>
          <w:rStyle w:val="CharStyle12"/>
          <w:i/>
          <w:iCs/>
          <w:sz w:val="24"/>
          <w:szCs w:val="24"/>
        </w:rPr>
        <w:t>44-ФЗ)</w:t>
      </w:r>
      <w:r>
        <w:rPr>
          <w:rStyle w:val="CharStyle12"/>
          <w:i/>
          <w:iCs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60"/>
        <w:jc w:val="both"/>
      </w:pPr>
      <w:r>
        <w:rPr>
          <w:rStyle w:val="CharStyle12"/>
        </w:rPr>
        <w:t>Извещение о проведении Закупки содержит Требования к содержанию, составу заявки и инструкцию по ее заполнению, согласно которым заявка на участие в закупке должна содержать, в том числе: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  <w:rPr>
          <w:sz w:val="24"/>
          <w:szCs w:val="24"/>
        </w:rPr>
      </w:pPr>
      <w:r>
        <w:rPr>
          <w:rStyle w:val="CharStyle12"/>
        </w:rPr>
        <w:t>«</w:t>
      </w:r>
      <w:r>
        <w:rPr>
          <w:rStyle w:val="CharStyle12"/>
          <w:i/>
          <w:iCs/>
          <w:sz w:val="24"/>
          <w:szCs w:val="24"/>
        </w:rPr>
        <w:t xml:space="preserve">а) документ, подтверждающий право собственности на жилое помещение (владение правом собственности на товар, являющийся предметом закупки (основание: 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131 </w:t>
      </w:r>
      <w:r>
        <w:rPr>
          <w:rStyle w:val="CharStyle12"/>
          <w:i/>
          <w:iCs/>
          <w:sz w:val="24"/>
          <w:szCs w:val="24"/>
        </w:rPr>
        <w:t xml:space="preserve">Гражданского Кодекса РФ и 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18 </w:t>
      </w:r>
      <w:r>
        <w:rPr>
          <w:rStyle w:val="CharStyle12"/>
          <w:i/>
          <w:iCs/>
          <w:sz w:val="24"/>
          <w:szCs w:val="24"/>
        </w:rPr>
        <w:t>Жилищного Кодекса РФ);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206" w:val="left"/>
        </w:tabs>
        <w:bidi w:val="0"/>
        <w:spacing w:before="0" w:after="0" w:line="252" w:lineRule="auto"/>
        <w:ind w:left="0" w:right="0" w:firstLine="900"/>
        <w:jc w:val="both"/>
        <w:rPr>
          <w:sz w:val="24"/>
          <w:szCs w:val="24"/>
        </w:rPr>
      </w:pPr>
      <w:r>
        <w:rPr>
          <w:rStyle w:val="CharStyle12"/>
          <w:i/>
          <w:iCs/>
          <w:sz w:val="24"/>
          <w:szCs w:val="24"/>
        </w:rPr>
        <w:t xml:space="preserve">в случае, если участник закупки является представителем собственника жилого помещения, то в составе заявки предоставляется нотариальная доверенность от имени собственника жилого помещения на совершение всех необходимых действий в отношении жилого помещения с правом подписания муниципального контракта, а также документ подтверждающий право собственности на жилое помещение (владение правом собственности на товар, являющийся предметом закупки (основание: 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131 </w:t>
      </w:r>
      <w:r>
        <w:rPr>
          <w:rStyle w:val="CharStyle12"/>
          <w:i/>
          <w:iCs/>
          <w:sz w:val="24"/>
          <w:szCs w:val="24"/>
        </w:rPr>
        <w:t xml:space="preserve">Гражданского Кодекса РФ и ст. </w:t>
      </w:r>
      <w:r>
        <w:rPr>
          <w:rStyle w:val="CharStyle12"/>
          <w:i/>
          <w:iCs/>
          <w:sz w:val="24"/>
          <w:szCs w:val="24"/>
          <w:lang w:val="en-US" w:eastAsia="en-US"/>
        </w:rPr>
        <w:t xml:space="preserve">18 </w:t>
      </w:r>
      <w:r>
        <w:rPr>
          <w:rStyle w:val="CharStyle12"/>
          <w:i/>
          <w:iCs/>
          <w:sz w:val="24"/>
          <w:szCs w:val="24"/>
        </w:rPr>
        <w:t>Жилищного Кодекса РФ);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91" w:val="left"/>
        </w:tabs>
        <w:bidi w:val="0"/>
        <w:spacing w:before="0" w:after="0" w:line="252" w:lineRule="auto"/>
        <w:ind w:left="0" w:right="0" w:firstLine="900"/>
        <w:jc w:val="both"/>
      </w:pPr>
      <w:r>
        <w:rPr>
          <w:rStyle w:val="CharStyle12"/>
          <w:i/>
          <w:iCs/>
          <w:sz w:val="24"/>
          <w:szCs w:val="24"/>
        </w:rPr>
        <w:t>копия выписки из Единого государственного реестра недвижимости об основных характеристиках и зарегистрированных правах на объект недвижимости (или иной аналогичный документ).</w:t>
      </w:r>
      <w:r>
        <w:rPr>
          <w:rStyle w:val="CharStyle12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900"/>
        <w:jc w:val="both"/>
      </w:pPr>
      <w:r>
        <w:rPr>
          <w:rStyle w:val="CharStyle12"/>
        </w:rPr>
        <w:t xml:space="preserve">Согласно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в том числе: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Крымского межрегионального УФАС России отмечает, что в письме ФАС России от </w:t>
      </w:r>
      <w:r>
        <w:rPr>
          <w:rStyle w:val="CharStyle12"/>
          <w:lang w:val="en-US" w:eastAsia="en-US"/>
        </w:rPr>
        <w:t xml:space="preserve">13.12.2024 </w:t>
      </w:r>
      <w:r>
        <w:rPr>
          <w:rStyle w:val="CharStyle12"/>
        </w:rPr>
        <w:t xml:space="preserve">№МШ/115170/24 сообщается, что в целях получения сведений о соответствии жилого помещения требованиям законодательства Российской Федерации и последующего соотнесения с требованиями извещения об осуществлении закупки, а также в целях реализации положений подпункта "в" пункта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>Закона о контрактной системе заказчик устанавливает требование к составу заявки о представлении в составе заявки документов, подтверждающих государственную регистрацию права собственности на недвижимое имущество.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28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13.07.2015 N </w:t>
      </w:r>
      <w:r>
        <w:rPr>
          <w:rStyle w:val="CharStyle12"/>
        </w:rPr>
        <w:t>218-ФЗ "О государственной регистрации недвижимости" документом, который удостоверяет право собственности на недвижимое имущество при его передаче другому лицу, является выписка из ЕГРН.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Таким образом, документом, подтверждающим право собственности на жилое помещение является выписка из ЕГРН.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Комиссия Крымского межрегионального УФАС России установила, что Заявитель в составе заявки представил выписку из ЕГРН, в соответствии с которой Заявитель является собственником предлагаемого жилого помещения на основании договора купли-продажи от 07.04.2026г.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Следовательно, заявка Заявителя соответствует требованиям, установленным в извещении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Вместе с тем, Комиссия Крымского межрегионального УФАС России отмечает, что согласно подпункту «а»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50 </w:t>
      </w:r>
      <w:r>
        <w:rPr>
          <w:rStyle w:val="CharStyle12"/>
        </w:rPr>
        <w:t xml:space="preserve">Закона о контрактной системе,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2"/>
          <w:lang w:val="en-US" w:eastAsia="en-US"/>
        </w:rPr>
        <w:t xml:space="preserve">1 - 8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настоящего Федерального закона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50 </w:t>
      </w:r>
      <w:r>
        <w:rPr>
          <w:rStyle w:val="CharStyle12"/>
        </w:rPr>
        <w:t xml:space="preserve">Закона о контрактной системе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2"/>
          <w:lang w:val="en-US" w:eastAsia="en-US"/>
        </w:rPr>
        <w:t xml:space="preserve">1, 2, 4 - 7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Вместе с тем, Комиссия Крымского межрегионального УФАС России отмечает, что протокол подведения итогов определения поставщика (подрядчика, исполнителя) от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lang w:val="en-US" w:eastAsia="en-US"/>
        </w:rPr>
        <w:t xml:space="preserve">12.05.2026 </w:t>
      </w:r>
      <w:r>
        <w:rPr>
          <w:rStyle w:val="CharStyle12"/>
        </w:rPr>
        <w:t xml:space="preserve">№ИЗК1 не содержал надлежащего обоснования принятого комиссией Заказчика решения об отклонении заявки Заявителя поскольку в нем не указано, какая именно информация и документы не представлены. В связи с чем, Комиссия находит довод Заявителя об отсутствии надлежащего обоснования отклонения заявки Заявителя обоснованным, что является нарушением пункта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50 </w:t>
      </w:r>
      <w:r>
        <w:rPr>
          <w:rStyle w:val="CharStyle12"/>
        </w:rPr>
        <w:t xml:space="preserve">Закона о контрактной системе. Также Комиссия отмечает, что действия Заказчика в части неправомерного отклонение заявки Заявителя содержат нарушение подпункта «а»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50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изложенного, руководствуясь частью </w:t>
      </w:r>
      <w:r>
        <w:rPr>
          <w:rStyle w:val="CharStyle12"/>
          <w:lang w:val="en-US" w:eastAsia="en-US"/>
        </w:rPr>
        <w:t xml:space="preserve">15, 22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99, </w:t>
      </w: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системе, Комиссия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Признать жалобу Заявителя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Признать в действиях комиссии Заказчика нарушение подпункта «а»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3, </w:t>
      </w:r>
      <w:r>
        <w:rPr>
          <w:rStyle w:val="CharStyle12"/>
        </w:rPr>
        <w:t xml:space="preserve">пункта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50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Выдать предписание об устранении нарушений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02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Передать материалы дела должностному лицу для рассмотрения вопроса о возбуждении дела об административном правонарушении по части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7.30.1 </w:t>
      </w:r>
      <w:r>
        <w:rPr>
          <w:rStyle w:val="CharStyle12"/>
        </w:rPr>
        <w:t>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23" w:bottom="187" w:left="108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82600" distB="215900" distL="0" distR="0" simplePos="0" relativeHeight="125829380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482600</wp:posOffset>
                </wp:positionV>
                <wp:extent cx="1822450" cy="25019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2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pt;margin-top:38.pt;width:143.5pt;height:19.699999999999999pt;z-index:-125829373;mso-wrap-distance-left:0;mso-wrap-distance-top:38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2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4520" distB="0" distL="0" distR="1816735" simplePos="0" relativeHeight="125829382" behindDoc="0" locked="0" layoutInCell="1" allowOverlap="1">
            <wp:simplePos x="0" y="0"/>
            <wp:positionH relativeFrom="page">
              <wp:posOffset>3318510</wp:posOffset>
            </wp:positionH>
            <wp:positionV relativeFrom="paragraph">
              <wp:posOffset>604520</wp:posOffset>
            </wp:positionV>
            <wp:extent cx="298450" cy="34734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3708400</wp:posOffset>
                </wp:positionH>
                <wp:positionV relativeFrom="paragraph">
                  <wp:posOffset>665480</wp:posOffset>
                </wp:positionV>
                <wp:extent cx="1722120" cy="25908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92.pt;margin-top:52.3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82600" distB="215900" distL="0" distR="0" simplePos="0" relativeHeight="125829383" behindDoc="0" locked="0" layoutInCell="1" allowOverlap="1">
                <wp:simplePos x="0" y="0"/>
                <wp:positionH relativeFrom="page">
                  <wp:posOffset>6092190</wp:posOffset>
                </wp:positionH>
                <wp:positionV relativeFrom="paragraph">
                  <wp:posOffset>482600</wp:posOffset>
                </wp:positionV>
                <wp:extent cx="1094105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2"/>
                                <w:sz w:val="28"/>
                                <w:szCs w:val="28"/>
                              </w:rPr>
                              <w:t>А.П. Рудакова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79.69999999999999pt;margin-top:38.pt;width:86.150000000000006pt;height:19.699999999999999pt;z-index:-125829370;mso-wrap-distance-left:0;mso-wrap-distance-top:38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2"/>
                          <w:sz w:val="28"/>
                          <w:szCs w:val="28"/>
                        </w:rPr>
                        <w:t>А.П. Рудакова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Рудакова Анна Павловна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00BA9D090B51F51B7B58A4FE530CFAC1D</w:t>
      </w:r>
      <w:r>
        <w:rPr>
          <w:rStyle w:val="CharStyle28"/>
          <w:lang w:val="en-US" w:eastAsia="en-US"/>
        </w:rPr>
        <w:t>J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28"/>
        </w:rPr>
        <w:t xml:space="preserve">Действителен с 30.09.2025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24.12.2026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320"/>
        <w:jc w:val="left"/>
        <w:rPr>
          <w:sz w:val="28"/>
          <w:szCs w:val="28"/>
        </w:rPr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3321050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3710940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92.19999999999999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  <w:sz w:val="28"/>
          <w:szCs w:val="28"/>
        </w:rPr>
        <w:t>Э.С. Аджислямова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 xml:space="preserve">Аджислямова Эльвина Сейтасановна </w:t>
      </w: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00C475AD7EE6A067ACB6EA023E7079B93</w:t>
      </w:r>
      <w:r>
        <w:rPr>
          <w:rStyle w:val="CharStyle28"/>
          <w:lang w:val="en-US" w:eastAsia="en-US"/>
        </w:rPr>
        <w:t>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40" w:line="266" w:lineRule="auto"/>
        <w:ind w:right="0" w:firstLine="20"/>
        <w:jc w:val="left"/>
      </w:pPr>
      <w:r>
        <w:rPr>
          <w:rStyle w:val="CharStyle28"/>
        </w:rPr>
        <w:t>Действителен с 20.10.2025 по 13.01.2027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  <w:rPr>
          <w:sz w:val="28"/>
          <w:szCs w:val="28"/>
        </w:rPr>
      </w:pPr>
      <w:r>
        <w:drawing>
          <wp:anchor distT="0" distB="0" distL="114300" distR="1931035" simplePos="0" relativeHeight="125829386" behindDoc="0" locked="0" layoutInCell="1" allowOverlap="1">
            <wp:simplePos x="0" y="0"/>
            <wp:positionH relativeFrom="page">
              <wp:posOffset>3305810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3695700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91.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  <w:sz w:val="28"/>
          <w:szCs w:val="28"/>
        </w:rPr>
        <w:t>Э.Л. Халилова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Халилова Эльзара Лемаровна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262CC982FDFF03A83738D0712409E9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8"/>
        </w:rPr>
        <w:t xml:space="preserve">Действителен с 12.11.2025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05.02.2027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03" w:right="541" w:bottom="1503" w:left="110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546735</wp:posOffset>
              </wp:positionV>
              <wp:extent cx="73025" cy="12509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2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43.050000000000004pt;width:5.75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2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4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2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8">
    <w:name w:val="Heading #2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Header or footer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6">
    <w:name w:val="Body text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4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7">
    <w:name w:val="Heading #2"/>
    <w:basedOn w:val="Normal"/>
    <w:link w:val="CharStyle8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Header or footer (2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  <w:ind w:left="47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4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