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25.05.2026</w:t>
      </w:r>
      <w:r>
        <w:fldChar w:fldCharType="end"/>
      </w:r>
      <w:r>
        <w:rPr>
          <w:rStyle w:val="CharStyle10"/>
        </w:rPr>
        <w:tab/>
        <w:t>№ 22349/26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Департамент градостроительной политики г. Москвы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"mailto:goszakazdgp@mos.ru" </w:instrText>
      </w:r>
      <w:r>
        <w:fldChar w:fldCharType="separate"/>
      </w:r>
      <w:r>
        <w:rPr>
          <w:rStyle w:val="CharStyle12"/>
          <w:lang w:val="en-US" w:eastAsia="en-US"/>
        </w:rPr>
        <w:t>goszakazdgp@mos.ru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 «Мосгоргеотрест»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"mailto:yulobankina@mggt.ru" </w:instrText>
      </w:r>
      <w:r>
        <w:fldChar w:fldCharType="separate"/>
      </w:r>
      <w:r>
        <w:rPr>
          <w:rStyle w:val="CharStyle12"/>
          <w:lang w:val="en-US" w:eastAsia="en-US"/>
        </w:rPr>
        <w:t>yulobankina@mggt.ru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«Землемер»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525" w:bottom="708" w:left="1265" w:header="0" w:footer="3" w:gutter="0"/>
          <w:pgNumType w:start="1"/>
          <w:cols w:num="2" w:space="1171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"mailto:200272468@rusgeotorg.ru" </w:instrText>
      </w:r>
      <w:r>
        <w:fldChar w:fldCharType="separate"/>
      </w:r>
      <w:r>
        <w:rPr>
          <w:rStyle w:val="CharStyle12"/>
          <w:lang w:val="en-US" w:eastAsia="en-US"/>
        </w:rPr>
        <w:t>200272468@rusgeotorg.ru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3" w:right="0" w:bottom="4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077/06/105-6374/2026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20.05.2026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Департамент градостроительной политики г. Москвы: В.Ф. Журавлева (по доверенности </w:t>
      </w:r>
      <w:r>
        <w:rPr>
          <w:rStyle w:val="CharStyle12"/>
          <w:lang w:val="en-US" w:eastAsia="en-US"/>
        </w:rPr>
        <w:t xml:space="preserve">№ 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20.06.2025), </w:t>
      </w:r>
      <w:r>
        <w:rPr>
          <w:rStyle w:val="CharStyle12"/>
        </w:rPr>
        <w:t xml:space="preserve">И.Б. Макаровой (по доверенности </w:t>
      </w:r>
      <w:r>
        <w:rPr>
          <w:rStyle w:val="CharStyle12"/>
          <w:lang w:val="en-US" w:eastAsia="en-US"/>
        </w:rPr>
        <w:t xml:space="preserve">№ 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20.06.2025),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ГУП «Мосгоргеотрест»: Д.А. Березина (по доверенности </w:t>
      </w:r>
      <w:r>
        <w:rPr>
          <w:rStyle w:val="CharStyle12"/>
          <w:lang w:val="en-US" w:eastAsia="en-US"/>
        </w:rPr>
        <w:t xml:space="preserve">№ 112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03.03.2026), </w:t>
      </w:r>
      <w:r>
        <w:rPr>
          <w:rStyle w:val="CharStyle12"/>
        </w:rPr>
        <w:t xml:space="preserve">Д.С. Стахова (по доверенности </w:t>
      </w:r>
      <w:r>
        <w:rPr>
          <w:rStyle w:val="CharStyle12"/>
          <w:lang w:val="en-US" w:eastAsia="en-US"/>
        </w:rPr>
        <w:t xml:space="preserve">№ 283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08.09.2025), </w:t>
      </w:r>
      <w:r>
        <w:rPr>
          <w:rStyle w:val="CharStyle12"/>
        </w:rPr>
        <w:t xml:space="preserve">О.А. Чижова (по доверенности </w:t>
      </w:r>
      <w:r>
        <w:rPr>
          <w:rStyle w:val="CharStyle12"/>
          <w:lang w:val="en-US" w:eastAsia="en-US"/>
        </w:rPr>
        <w:t xml:space="preserve">№ 243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14.05.2026),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отсутствие представителей ООО «Землемер»,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жалобы ООО «Землемер»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ГУП «Мосгоргеотрест»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Заказчик) при проведении электронных аукционов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на право заключения государственных контрактов на поставку комплектов аппаратуры ГНСС и приемников для мобильных базовых станций (Закупки </w:t>
      </w:r>
      <w:r>
        <w:rPr>
          <w:rStyle w:val="CharStyle12"/>
          <w:lang w:val="en-US" w:eastAsia="en-US"/>
        </w:rPr>
        <w:t xml:space="preserve">№№ 0173200024026000043, 0173200024026000049)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электронные аукционы, аукционы),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44- </w:t>
      </w:r>
      <w:r>
        <w:rPr>
          <w:rStyle w:val="CharStyle12"/>
        </w:rPr>
        <w:t xml:space="preserve">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Московское УФАС России поступили жалобы Заявителя на действия Заказчика при проведении вышеуказанных электронных аукционов.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результате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извещений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 xml:space="preserve">Согласно п.1 ч.2 ст.42 Закона о контрактной системе извещение об осуществлении закупки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>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240" w:line="276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2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</w:t>
      </w:r>
      <w:r>
        <w:rPr>
          <w:rStyle w:val="CharStyle12"/>
          <w:sz w:val="24"/>
          <w:szCs w:val="24"/>
          <w:lang w:val="en-US" w:eastAsia="en-US"/>
        </w:rPr>
        <w:t>2026-25840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12"/>
        </w:rPr>
        <w:t>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 мнению Заявителя, совокупность установленных параметров к закупаемым товарам по п. </w:t>
      </w:r>
      <w:r>
        <w:rPr>
          <w:rStyle w:val="CharStyle12"/>
          <w:lang w:val="en-US" w:eastAsia="en-US"/>
        </w:rPr>
        <w:t xml:space="preserve">«GNSS </w:t>
      </w:r>
      <w:r>
        <w:rPr>
          <w:rStyle w:val="CharStyle12"/>
        </w:rPr>
        <w:t xml:space="preserve">приемник геодезический» соответствуют товарам единственного производителя, а именно: </w:t>
      </w:r>
      <w:r>
        <w:rPr>
          <w:rStyle w:val="CharStyle12"/>
          <w:lang w:val="en-US" w:eastAsia="en-US"/>
        </w:rPr>
        <w:t xml:space="preserve">PrinCe, </w:t>
      </w:r>
      <w:r>
        <w:rPr>
          <w:rStyle w:val="CharStyle12"/>
        </w:rPr>
        <w:t xml:space="preserve">так как в описании объекта закупки установлено требование к товарному знаку </w:t>
      </w:r>
      <w:r>
        <w:rPr>
          <w:rStyle w:val="CharStyle12"/>
          <w:lang w:val="en-US" w:eastAsia="en-US"/>
        </w:rPr>
        <w:t xml:space="preserve">«PrinCe», </w:t>
      </w:r>
      <w:r>
        <w:rPr>
          <w:rStyle w:val="CharStyle12"/>
        </w:rPr>
        <w:t xml:space="preserve">при этом указано: «Допускается поставка эквивалента: Нет», в связи с чем Заказчиком также неправомерно не применяются меры национального режима в соответствии с постановлением Правительства от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декабря </w:t>
      </w:r>
      <w:r>
        <w:rPr>
          <w:rStyle w:val="CharStyle12"/>
          <w:lang w:val="en-US" w:eastAsia="en-US"/>
        </w:rPr>
        <w:t xml:space="preserve">2024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 1875).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российское лицо), за исключением случаев принятия Правительством Российской Федерации мер, предусмотренных п.1 ч.2 ст.14 Закона о контрактной системе. </w:t>
      </w:r>
      <w:r>
        <w:rPr>
          <w:rStyle w:val="CharStyle12"/>
          <w:sz w:val="24"/>
          <w:szCs w:val="24"/>
          <w:lang w:val="en-US" w:eastAsia="en-US"/>
        </w:rPr>
        <w:t>2026-25840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П.1 ч.2 ст.14 Закона о контрактной системе определено, что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П.1 Постановления Правительства РФ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1875)установлено,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№1, </w:t>
      </w:r>
      <w:r>
        <w:rPr>
          <w:rStyle w:val="CharStyle12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3" w:val="left"/>
        </w:tabs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3" w:right="541" w:bottom="468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</w:t>
      </w:r>
      <w:r>
        <w:rPr>
          <w:rStyle w:val="CharStyle12"/>
          <w:sz w:val="24"/>
          <w:szCs w:val="24"/>
          <w:lang w:val="en-US" w:eastAsia="en-US"/>
        </w:rPr>
        <w:t>2026-25840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>№2;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извещениях об осуществлении закупок в отношении закупаемых товаров </w:t>
      </w:r>
      <w:r>
        <w:rPr>
          <w:rStyle w:val="CharStyle12"/>
          <w:lang w:val="en-US" w:eastAsia="en-US"/>
        </w:rPr>
        <w:t xml:space="preserve">«GNSS </w:t>
      </w:r>
      <w:r>
        <w:rPr>
          <w:rStyle w:val="CharStyle12"/>
        </w:rPr>
        <w:t xml:space="preserve">приемник геодезический» Заказчиком установлено ограничение, предусмотренное п.1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 этом в графе «Обоснование невозможности соблюдения запрета, ограничения» указано: «Осуществляется закупка товара определенного товарного знака ввиду его несовместимости с товарами, на которых размещаются другие товарные знаки, и необходимости обеспечения взаимодействия закупаемого товара с товарами, используемыми заказчиком, за исключением случаев осуществления закупок товара, указанного в позиции </w:t>
      </w:r>
      <w:r>
        <w:rPr>
          <w:rStyle w:val="CharStyle12"/>
          <w:lang w:val="en-US" w:eastAsia="en-US"/>
        </w:rPr>
        <w:t xml:space="preserve">371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N 2 </w:t>
      </w:r>
      <w:r>
        <w:rPr>
          <w:rStyle w:val="CharStyle12"/>
        </w:rPr>
        <w:t>к настоящему постановлению».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Заказчик подготовил техническую документацию для аукциона в соответствии с пп. «б» п.1 ч.1 ст.33 Закона о контрактной системе на основании наличия в эксплуатации Заказчика ГНСС-приемников </w:t>
      </w:r>
      <w:r>
        <w:rPr>
          <w:rStyle w:val="CharStyle12"/>
          <w:lang w:val="en-US" w:eastAsia="en-US"/>
        </w:rPr>
        <w:t xml:space="preserve">«PrinCe» </w:t>
      </w:r>
      <w:r>
        <w:rPr>
          <w:rStyle w:val="CharStyle12"/>
        </w:rPr>
        <w:t>с пояснениями от производителя закупаемого оборудования о необходимости обеспечения взаимодействия закупаемого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085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Использование полностью совместимого и взаимозаменяемого оборудования обусловлено парком имеющегося на балансе Заказчика оборудования, обученного под работу с ним персонала, настроенной программной средой для обмена и обработки результатов использования данного оборудования, ежегодной закупкой расходных материалов на весь парк имеющегося оборудования, а также наличием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12"/>
        </w:rPr>
        <w:t>на складе закупленных ранее расходных материалов.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Закупаемое оборудование относится к ОКПД2 </w:t>
      </w:r>
      <w:r>
        <w:rPr>
          <w:rStyle w:val="CharStyle12"/>
          <w:lang w:val="en-US" w:eastAsia="en-US"/>
        </w:rPr>
        <w:t xml:space="preserve">26.51.12.120 </w:t>
      </w:r>
      <w:r>
        <w:rPr>
          <w:rStyle w:val="CharStyle12"/>
        </w:rPr>
        <w:t xml:space="preserve">«Инструменты и приборы геодезические» и попадает в Приложение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№ 1875. </w:t>
      </w:r>
      <w:r>
        <w:rPr>
          <w:rStyle w:val="CharStyle12"/>
        </w:rPr>
        <w:t xml:space="preserve">В соответствии с пп.«а» п.6 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ограничение, предусмотренное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вышеуказанного Постановления, может не применяться Заказчиком при осуществлении закупок товара определенного товарного знака ввиду его несовместимости с товарами, на которых размещаются другие товарные знаки, и необходимости обеспечения взаимодействия закупаемого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обоснование своей позиции представитель Заказчика предоставил гражданско-правовой договор бюджетного учреждения </w:t>
      </w:r>
      <w:r>
        <w:rPr>
          <w:rStyle w:val="CharStyle12"/>
          <w:lang w:val="en-US" w:eastAsia="en-US"/>
        </w:rPr>
        <w:t xml:space="preserve">№ 0373500001425000033 </w:t>
      </w:r>
      <w:r>
        <w:rPr>
          <w:rStyle w:val="CharStyle12"/>
        </w:rPr>
        <w:t xml:space="preserve">на поставку приемников ГНСС мультисистемный в комплекте, а также гарантийный талон на Приемник </w:t>
      </w:r>
      <w:r>
        <w:rPr>
          <w:rStyle w:val="CharStyle12"/>
          <w:lang w:val="en-US" w:eastAsia="en-US"/>
        </w:rPr>
        <w:t xml:space="preserve">GNSS PrinCe i Base № 4581895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06.08.2025 </w:t>
      </w:r>
      <w:r>
        <w:rPr>
          <w:rStyle w:val="CharStyle12"/>
        </w:rPr>
        <w:t xml:space="preserve">до </w:t>
      </w:r>
      <w:r>
        <w:rPr>
          <w:rStyle w:val="CharStyle12"/>
          <w:lang w:val="en-US" w:eastAsia="en-US"/>
        </w:rPr>
        <w:t>06.08.2027.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Представитель Заказчика предоставил письмо от предприятия-изготовителя </w:t>
      </w:r>
      <w:r>
        <w:rPr>
          <w:rStyle w:val="CharStyle12"/>
          <w:lang w:val="en-US" w:eastAsia="en-US"/>
        </w:rPr>
        <w:t xml:space="preserve">Shanghai Huace Navigation Technology Ltd </w:t>
      </w:r>
      <w:r>
        <w:rPr>
          <w:rStyle w:val="CharStyle12"/>
        </w:rPr>
        <w:t xml:space="preserve">(25-4747-МОП от </w:t>
      </w:r>
      <w:r>
        <w:rPr>
          <w:rStyle w:val="CharStyle12"/>
          <w:lang w:val="en-US" w:eastAsia="en-US"/>
        </w:rPr>
        <w:t xml:space="preserve">18.11.2025 </w:t>
      </w:r>
      <w:r>
        <w:rPr>
          <w:rStyle w:val="CharStyle12"/>
        </w:rPr>
        <w:t xml:space="preserve">о том, что полная взаимозаменяемость имеющегося в парке ГБУ «МОСГОРГЕОТРЕСТ» оборудования </w:t>
      </w:r>
      <w:r>
        <w:rPr>
          <w:rStyle w:val="CharStyle12"/>
          <w:lang w:val="en-US" w:eastAsia="en-US"/>
        </w:rPr>
        <w:t xml:space="preserve">PrinCe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CHCNAV </w:t>
      </w:r>
      <w:r>
        <w:rPr>
          <w:rStyle w:val="CharStyle12"/>
        </w:rPr>
        <w:t xml:space="preserve">обеспечивается только в рамках модельного ряда приборов и программного обеспечения производства </w:t>
      </w:r>
      <w:r>
        <w:rPr>
          <w:rStyle w:val="CharStyle12"/>
          <w:lang w:val="en-US" w:eastAsia="en-US"/>
        </w:rPr>
        <w:t>Shanghai Huace Navigation Technology Ltd.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Также представитель Заказчика предоставил письмо от АО «Прин» </w:t>
      </w:r>
      <w:r>
        <w:rPr>
          <w:rStyle w:val="CharStyle12"/>
          <w:lang w:val="en-US" w:eastAsia="en-US"/>
        </w:rPr>
        <w:t xml:space="preserve">(№ 24- </w:t>
      </w:r>
      <w:r>
        <w:rPr>
          <w:rStyle w:val="CharStyle12"/>
        </w:rPr>
        <w:t xml:space="preserve">3273-МОП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5.12.2024), </w:t>
      </w:r>
      <w:r>
        <w:rPr>
          <w:rStyle w:val="CharStyle12"/>
        </w:rPr>
        <w:t xml:space="preserve">которая является дочерним предприятием компании- производителя, эксклюзивным дистрибутором на территории Российской Федерации, авторизованным сервисным партнёром по продукции </w:t>
      </w:r>
      <w:r>
        <w:rPr>
          <w:rStyle w:val="CharStyle12"/>
          <w:lang w:val="en-US" w:eastAsia="en-US"/>
        </w:rPr>
        <w:t xml:space="preserve">PrinCe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CHCNav, </w:t>
      </w:r>
      <w:r>
        <w:rPr>
          <w:rStyle w:val="CharStyle12"/>
        </w:rPr>
        <w:t xml:space="preserve">указывает, что комплект ГНСС приемника состоит из полевого контроллера </w:t>
      </w:r>
      <w:r>
        <w:rPr>
          <w:rStyle w:val="CharStyle12"/>
          <w:lang w:val="en-US" w:eastAsia="en-US"/>
        </w:rPr>
        <w:t xml:space="preserve">PrinCe, </w:t>
      </w:r>
      <w:r>
        <w:rPr>
          <w:rStyle w:val="CharStyle12"/>
        </w:rPr>
        <w:t xml:space="preserve">приемника </w:t>
      </w:r>
      <w:r>
        <w:rPr>
          <w:rStyle w:val="CharStyle12"/>
          <w:lang w:val="en-US" w:eastAsia="en-US"/>
        </w:rPr>
        <w:t xml:space="preserve">PrinCe </w:t>
      </w:r>
      <w:r>
        <w:rPr>
          <w:rStyle w:val="CharStyle12"/>
        </w:rPr>
        <w:t xml:space="preserve">и предустановленного полевого программного обеспечения </w:t>
      </w:r>
      <w:r>
        <w:rPr>
          <w:rStyle w:val="CharStyle12"/>
          <w:lang w:val="en-US" w:eastAsia="en-US"/>
        </w:rPr>
        <w:t xml:space="preserve">LandStar. </w:t>
      </w:r>
      <w:r>
        <w:rPr>
          <w:rStyle w:val="CharStyle12"/>
        </w:rPr>
        <w:t xml:space="preserve">Данное программное обеспечение полноценно функционирует только с приёмниками </w:t>
      </w:r>
      <w:r>
        <w:rPr>
          <w:rStyle w:val="CharStyle12"/>
          <w:lang w:val="en-US" w:eastAsia="en-US"/>
        </w:rPr>
        <w:t xml:space="preserve">PrinCe, </w:t>
      </w:r>
      <w:r>
        <w:rPr>
          <w:rStyle w:val="CharStyle12"/>
        </w:rPr>
        <w:t xml:space="preserve">ГНСС приёмники сторонних производителей не могут полноценно функционировать с ПО </w:t>
      </w:r>
      <w:r>
        <w:rPr>
          <w:rStyle w:val="CharStyle12"/>
          <w:lang w:val="en-US" w:eastAsia="en-US"/>
        </w:rPr>
        <w:t xml:space="preserve">LandStar, </w:t>
      </w:r>
      <w:r>
        <w:rPr>
          <w:rStyle w:val="CharStyle12"/>
        </w:rPr>
        <w:t>что исключает взаимозаменяемость с оборудованием из комплектов сторонних производителей без ограничения функциональных возможностей.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Письмо компании </w:t>
      </w:r>
      <w:r>
        <w:rPr>
          <w:rStyle w:val="CharStyle12"/>
          <w:lang w:val="en-US" w:eastAsia="en-US"/>
        </w:rPr>
        <w:t xml:space="preserve">Shanghai Huace Navigation Technology Ltd. </w:t>
      </w:r>
      <w:r>
        <w:rPr>
          <w:rStyle w:val="CharStyle12"/>
        </w:rPr>
        <w:t xml:space="preserve">(Исх. </w:t>
      </w:r>
      <w:r>
        <w:rPr>
          <w:rStyle w:val="CharStyle12"/>
          <w:lang w:val="en-US" w:eastAsia="en-US"/>
        </w:rPr>
        <w:t xml:space="preserve">№ 015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17.11.2025) </w:t>
      </w:r>
      <w:r>
        <w:rPr>
          <w:rStyle w:val="CharStyle12"/>
        </w:rPr>
        <w:t xml:space="preserve">в котором сказано, что: </w:t>
      </w:r>
      <w:r>
        <w:rPr>
          <w:rStyle w:val="CharStyle12"/>
          <w:i/>
          <w:iCs/>
        </w:rPr>
        <w:t xml:space="preserve">«Компанией </w:t>
      </w:r>
      <w:r>
        <w:rPr>
          <w:rStyle w:val="CharStyle12"/>
          <w:i/>
          <w:iCs/>
          <w:lang w:val="en-US" w:eastAsia="en-US"/>
        </w:rPr>
        <w:t xml:space="preserve">Shanghai Huace Navigation Technology Ltd. </w:t>
      </w:r>
      <w:r>
        <w:rPr>
          <w:rStyle w:val="CharStyle12"/>
          <w:i/>
          <w:iCs/>
        </w:rPr>
        <w:t xml:space="preserve">была проведена доработка и модернизация оборудования, используемого ГБУ «Мосгоргеотрест» (Приёмники </w:t>
      </w:r>
      <w:r>
        <w:rPr>
          <w:rStyle w:val="CharStyle12"/>
          <w:i/>
          <w:iCs/>
          <w:lang w:val="en-US" w:eastAsia="en-US"/>
        </w:rPr>
        <w:t xml:space="preserve">PrinCe i80Pro, PrinCe i90; </w:t>
      </w:r>
      <w:r>
        <w:rPr>
          <w:rStyle w:val="CharStyle12"/>
          <w:i/>
          <w:iCs/>
        </w:rPr>
        <w:t xml:space="preserve">Контроллеры </w:t>
      </w:r>
      <w:r>
        <w:rPr>
          <w:rStyle w:val="CharStyle12"/>
          <w:i/>
          <w:iCs/>
          <w:lang w:val="en-US" w:eastAsia="en-US"/>
        </w:rPr>
        <w:t xml:space="preserve">HCE320, HCE600 </w:t>
      </w:r>
      <w:r>
        <w:rPr>
          <w:rStyle w:val="CharStyle12"/>
          <w:i/>
          <w:iCs/>
        </w:rPr>
        <w:t xml:space="preserve">с полевым программным обеспечением </w:t>
      </w:r>
      <w:r>
        <w:rPr>
          <w:rStyle w:val="CharStyle12"/>
          <w:i/>
          <w:iCs/>
          <w:lang w:val="en-US" w:eastAsia="en-US"/>
        </w:rPr>
        <w:t xml:space="preserve">LandStar8), </w:t>
      </w:r>
      <w:r>
        <w:rPr>
          <w:rStyle w:val="CharStyle12"/>
          <w:i/>
          <w:iCs/>
        </w:rPr>
        <w:t xml:space="preserve">под производственные потребности заказчика. В частности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разработан формат экспортного файла, используемого в производственном цикле организации </w:t>
      </w:r>
      <w:r>
        <w:rPr>
          <w:rStyle w:val="CharStyle12"/>
          <w:i/>
          <w:iCs/>
          <w:lang w:val="en-US" w:eastAsia="en-US"/>
        </w:rPr>
        <w:t xml:space="preserve">«.pco», </w:t>
      </w:r>
      <w:r>
        <w:rPr>
          <w:rStyle w:val="CharStyle12"/>
          <w:i/>
          <w:iCs/>
        </w:rPr>
        <w:t xml:space="preserve">и экспортный формат </w:t>
      </w:r>
      <w:r>
        <w:rPr>
          <w:rStyle w:val="CharStyle12"/>
          <w:i/>
          <w:iCs/>
          <w:lang w:val="en-US" w:eastAsia="en-US"/>
        </w:rPr>
        <w:t xml:space="preserve">«MicroStation.txt» </w:t>
      </w:r>
      <w:r>
        <w:rPr>
          <w:rStyle w:val="CharStyle12"/>
          <w:i/>
          <w:iCs/>
        </w:rPr>
        <w:t xml:space="preserve">для передачи полевых данных из программного обеспечения контроллеров </w:t>
      </w:r>
      <w:r>
        <w:rPr>
          <w:rStyle w:val="CharStyle12"/>
          <w:i/>
          <w:iCs/>
          <w:lang w:val="en-US" w:eastAsia="en-US"/>
        </w:rPr>
        <w:t xml:space="preserve">LandStar8 </w:t>
      </w:r>
      <w:r>
        <w:rPr>
          <w:rStyle w:val="CharStyle12"/>
          <w:i/>
          <w:iCs/>
        </w:rPr>
        <w:t>в систему камеральной обработки ГБУ «Мосгоргеотрест».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  <w:i/>
          <w:iCs/>
        </w:rPr>
        <w:t>Сообщаем о том, что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80"/>
        <w:ind w:left="0" w:right="0" w:firstLine="700"/>
        <w:jc w:val="both"/>
      </w:pPr>
      <w:r>
        <w:rPr>
          <w:rStyle w:val="CharStyle12"/>
          <w:i/>
          <w:iCs/>
        </w:rPr>
        <w:t xml:space="preserve">Приёмники </w:t>
      </w:r>
      <w:r>
        <w:rPr>
          <w:rStyle w:val="CharStyle12"/>
          <w:i/>
          <w:iCs/>
          <w:lang w:val="en-US" w:eastAsia="en-US"/>
        </w:rPr>
        <w:t xml:space="preserve">PrinCe i80Pro, PrinCe i90 </w:t>
      </w:r>
      <w:r>
        <w:rPr>
          <w:rStyle w:val="CharStyle12"/>
          <w:i/>
          <w:iCs/>
        </w:rPr>
        <w:t xml:space="preserve">могут быть использованы и совместимы только с контроллерами с предустановленным программным обеспечение </w:t>
      </w:r>
      <w:r>
        <w:rPr>
          <w:rStyle w:val="CharStyle12"/>
          <w:i/>
          <w:iCs/>
          <w:lang w:val="en-US" w:eastAsia="en-US"/>
        </w:rPr>
        <w:t>LandStar8.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93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7"/>
          <w:sz w:val="24"/>
          <w:szCs w:val="24"/>
          <w:lang w:val="en-US" w:eastAsia="en-US"/>
        </w:rPr>
        <w:t>2026-25840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Контроллеры </w:t>
      </w:r>
      <w:r>
        <w:rPr>
          <w:rStyle w:val="CharStyle12"/>
          <w:i/>
          <w:iCs/>
          <w:lang w:val="en-US" w:eastAsia="en-US"/>
        </w:rPr>
        <w:t xml:space="preserve">HCE320, HCE600 </w:t>
      </w:r>
      <w:r>
        <w:rPr>
          <w:rStyle w:val="CharStyle12"/>
          <w:i/>
          <w:iCs/>
        </w:rPr>
        <w:t xml:space="preserve">с полевым программным обеспечением </w:t>
      </w:r>
      <w:r>
        <w:rPr>
          <w:rStyle w:val="CharStyle12"/>
          <w:i/>
          <w:iCs/>
          <w:lang w:val="en-US" w:eastAsia="en-US"/>
        </w:rPr>
        <w:t xml:space="preserve">LandStar8 </w:t>
      </w:r>
      <w:r>
        <w:rPr>
          <w:rStyle w:val="CharStyle12"/>
          <w:i/>
          <w:iCs/>
        </w:rPr>
        <w:t xml:space="preserve">могут работать только с приёмниками </w:t>
      </w:r>
      <w:r>
        <w:rPr>
          <w:rStyle w:val="CharStyle12"/>
          <w:i/>
          <w:iCs/>
          <w:lang w:val="en-US" w:eastAsia="en-US"/>
        </w:rPr>
        <w:t>PrinCe».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из вышеуказанного информационного письма производителя оборудования следует, что для надлежащей работы всех функций оборудования с товарным знаком </w:t>
      </w:r>
      <w:r>
        <w:rPr>
          <w:rStyle w:val="CharStyle12"/>
          <w:lang w:val="en-US" w:eastAsia="en-US"/>
        </w:rPr>
        <w:t xml:space="preserve">«PrinCe» </w:t>
      </w:r>
      <w:r>
        <w:rPr>
          <w:rStyle w:val="CharStyle12"/>
        </w:rPr>
        <w:t xml:space="preserve">необходимо использовать коммутаторы производства </w:t>
      </w:r>
      <w:r>
        <w:rPr>
          <w:rStyle w:val="CharStyle12"/>
          <w:lang w:val="en-US" w:eastAsia="en-US"/>
        </w:rPr>
        <w:t>«Shanghai Huace Navigation Technology Ltd».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Комиссия Управления отмечает, что пп.«б» п.1 ч.1 ст.33 Закона о контрактной системе предусмотрено право Заказчика закупать товар конкретного производителя в случае несовместимости товаров иных производителей с оборудованием, имеющимся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Исходя из вышеизложенного Комиссия Управления приходит к выводу, что в данном конкретном случае сформированное Заказчиком описание объекта закупки, в оспариваемой части, не противоречит положениям Закона о контрактной системе, так как Заказчиком закупаются товары конкретного производителя для обеспечения совместимости таких товаров с оборудованием, имеющимся у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Вместе с тем в составе жалоб, а также на заседании Комиссии Управления представителем Заявителя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Кроме того, Заявителем не представлено доказательств того обстоятельства, что содержащиеся в техническом задании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техническом задании.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34" w:lineRule="auto"/>
        <w:ind w:left="0" w:right="0" w:firstLine="70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7" w:bottom="610" w:left="1095" w:header="0" w:footer="182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Кроме того, Комиссия также отмечает, что предъявленные Заказчиком требования к поставляемому товару в равной степени распространялись на всех </w:t>
      </w:r>
      <w:r>
        <w:rPr>
          <w:rStyle w:val="CharStyle12"/>
          <w:sz w:val="24"/>
          <w:szCs w:val="24"/>
          <w:lang w:val="en-US" w:eastAsia="en-US"/>
        </w:rPr>
        <w:t>2026-25840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12"/>
        </w:rPr>
        <w:t>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60"/>
        <w:jc w:val="both"/>
      </w:pPr>
      <w:r>
        <w:rPr>
          <w:rStyle w:val="CharStyle12"/>
        </w:rPr>
        <w:t>На основании изложенного, Комиссия Управления приходит к выводу о том, что вышеуказанные доводы Заявителя не нашли своего подтверждения и являются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  <w:lang w:val="en-US" w:eastAsia="en-US"/>
        </w:rPr>
        <w:t xml:space="preserve">2. </w:t>
      </w:r>
      <w:r>
        <w:rPr>
          <w:rStyle w:val="CharStyle12"/>
        </w:rPr>
        <w:t xml:space="preserve">В составе своей жалобы по закупке </w:t>
      </w:r>
      <w:r>
        <w:rPr>
          <w:rStyle w:val="CharStyle12"/>
          <w:lang w:val="en-US" w:eastAsia="en-US"/>
        </w:rPr>
        <w:t xml:space="preserve">№0173200024026000049 </w:t>
      </w:r>
      <w:r>
        <w:rPr>
          <w:rStyle w:val="CharStyle12"/>
        </w:rPr>
        <w:t>Заявитель указывает, что Заказчик при формировании извещения не применил характеристики из обязательной позиции КТРУ при описании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08.02.2017 №145 </w:t>
      </w:r>
      <w:r>
        <w:rPr>
          <w:rStyle w:val="CharStyle12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Правила использования КТРУ).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соответствии с пп.«а» п.2 Правил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77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приглашение);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8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контракте;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реестре контрактов, заключенных заказчиками.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«г» и «е»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2"/>
          <w:lang w:val="en-US" w:eastAsia="en-US"/>
        </w:rPr>
        <w:t xml:space="preserve">25, 26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Правительства Российской Федерации от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декабря </w:t>
      </w:r>
      <w:r>
        <w:rPr>
          <w:rStyle w:val="CharStyle12"/>
          <w:lang w:val="en-US" w:eastAsia="en-US"/>
        </w:rPr>
        <w:t xml:space="preserve">2024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Постановление№1875), позициях </w:t>
      </w:r>
      <w:r>
        <w:rPr>
          <w:rStyle w:val="CharStyle12"/>
          <w:lang w:val="en-US" w:eastAsia="en-US"/>
        </w:rPr>
        <w:t xml:space="preserve">191 - 361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применяются предусмотренные 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запрет, ограничение соответственно;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П.6 Правил использования КТРУ установлено, чтов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силу пп.«г»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Согласно пп.«а» п.13 Правил формирования КТРУ в описание товара, работы, услуги в соответствии с требованиями ст.33 Закона о контрактной системе включается в том числе потребительские свойства и иные характеристики товара, работы, услуги, в том числе функциональные, технические, качественные характеристики, эксплуатационные характеристики (при необходимости), сформированные с учетом следующих сведений: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случае если указанные характеристики имеют количественную оценку, то используются единицы измерения в соответствии с ОКЕИ. При отсутствии в ОКЕИ единицы измерения, в отношении которой уполномоченным органом принято решение о включении в описание товара, работы, услуги, уполномоченный орган направляет в федеральный орган исполнительной власти, обеспечивающий разработку, ведение и применение ОКЕИ, обращение о включении такой единицы измерения в ОКЕИ. При этом до включения соответствующей единицы измерения в ОКЕИ такая единица измерения включается в описание товара, работы, услуги и считается временным значением;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отношении каждой характеристики, имеющей количественную оценку, указывается ее конкретное значение, или исчерпывающий перечень конкретных значений, или диапазоны допустимых значений (минимально либо максимально допустимые значения), или неизменяемые значения, в том числе с учетом требований к товару, работе, услуге, установленных в соответствии со ст.19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отношении каждой характеристики, не имеющей количественной оценки, указывается исчерпывающий перечень соответствующих свойств товара, работы, услуги, в том числе с учетом требований к объектам закупки, установленных в соответствии со ст.19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Исходя из вышеизложенного Комиссия Управления приходит к выводу, что обоснование дополнительных требований к товару, предусмотренное п.6 Правил использования КТРУ, подлежит указанию заказчиком в извещении в случае, если используемая заказчиком позиция КТРУ содержит описание товара, предусмотренное пп.«г» п.10 Правил формирования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Комиссией Управления установлено, что используемая Заказчиком при описании закупаемых изделий позиция КТРУ </w:t>
      </w:r>
      <w:r>
        <w:rPr>
          <w:rStyle w:val="CharStyle12"/>
          <w:lang w:val="en-US" w:eastAsia="en-US"/>
        </w:rPr>
        <w:t xml:space="preserve">26.51.12.120-00000001 «GNSS </w:t>
      </w:r>
      <w:r>
        <w:rPr>
          <w:rStyle w:val="CharStyle12"/>
        </w:rPr>
        <w:t>приемник геодезический» содержит в своем составе описание изделия, предусмотренное пп.«г» п.10 Правил формирования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Вместе с этим Комиссией Управления установлено, что при описании изделия в извещении применены обязательные для применения характеристики, предусмотренные позицией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660"/>
        <w:jc w:val="both"/>
        <w:rPr>
          <w:sz w:val="24"/>
          <w:szCs w:val="24"/>
        </w:r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92" w:left="1101" w:header="0" w:footer="264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Вместе с этим, согласно ч.4 ст.106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при этом в составе жалобы Заявителем, не представлено документов и </w:t>
      </w:r>
      <w:r>
        <w:rPr>
          <w:rStyle w:val="CharStyle12"/>
          <w:sz w:val="24"/>
          <w:szCs w:val="24"/>
          <w:lang w:val="en-US" w:eastAsia="en-US"/>
        </w:rPr>
        <w:t>2026-25840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сведений, подтверждающие доводы жалобы, в частности указание на иные позиции КТРУ, которые соответствуют закупаемым Заказчиком изделиям, а также не представлено документов и сведений, свидетельствующих о неправомерности закупки вышеуказанных изделий в рамках одной конкурентной процедуры, ввиду чего у Комиссии Управления отсутствуют правовые основания для признания Заказчика нарушившим положения Законе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Исходя из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Также в составе жалобы Заявитель указывает, что Заказчиком нарушаются положения Федерального закона от </w:t>
      </w:r>
      <w:r>
        <w:rPr>
          <w:rStyle w:val="CharStyle12"/>
          <w:lang w:val="en-US" w:eastAsia="en-US"/>
        </w:rPr>
        <w:t xml:space="preserve">26.07.2006 </w:t>
      </w:r>
      <w:r>
        <w:rPr>
          <w:rStyle w:val="CharStyle12"/>
        </w:rPr>
        <w:t xml:space="preserve">135-ФЗ «О защите конкуренции»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защите конкуренции).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Вместе с этим жалоба Заявителя на действия Заказчика подана в Московское УФАС России в порядке главы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Закона о контрактной системе и рассмотрена Комиссией Управления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Следует отметить, что в рамках рассмотрения данной жалобы Комиссия Управления не вправе давать оценку действиям Заказчика в части наличия или отсутствия нарушений Закона о защите конкуренции, так как дела о нарушении антимонопольного законодательства рассматриваются в соответствии с Законом о защите конкуренции по процедуре, предусмотренной Административным регламентом Федеральной антимонопольной службы России по исполнению государственной функции по возбуждению и рассмотрению дел о нарушениях антимонопольного законодательства, утвержденным приказом ФАС России от </w:t>
      </w:r>
      <w:r>
        <w:rPr>
          <w:rStyle w:val="CharStyle12"/>
          <w:lang w:val="en-US" w:eastAsia="en-US"/>
        </w:rPr>
        <w:t>25.05.2012 № 339.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Учитывая,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порядке, предусмотренном Законом о защите конкуренции, рассмотрение доводов жалобы в отношении нарушении Закона о защите конкуренции не может быть осуществлено.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60"/>
        <w:jc w:val="both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396" w:val="left"/>
          <w:tab w:pos="430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жалобы</w:t>
        <w:tab/>
        <w:t>ООО «Землемер» на действия ГУП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«Мосгоргеотрест» необоснованными.</w:t>
      </w:r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3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Снять ограничения на определение поставщика (подрядчика,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12"/>
        </w:rPr>
        <w:t>исполнителя), наложенные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54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044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44040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8.200000000000003pt;margin-top:11.pt;width:145.20000000000002pt;height:19.900000000000002pt;z-index:-125829374;mso-wrap-distance-left:0;mso-wrap-distance-top:11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1140" distB="0" distL="0" distR="1804670" simplePos="0" relativeHeight="125829381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231140</wp:posOffset>
            </wp:positionV>
            <wp:extent cx="316865" cy="365760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300990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80000000000001pt;margin-top:23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04470" distL="0" distR="0" simplePos="0" relativeHeight="125829382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139700</wp:posOffset>
                </wp:positionV>
                <wp:extent cx="1304290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65.69999999999999pt;margin-top:11.pt;width:102.7pt;height:19.900000000000002pt;z-index:-125829371;mso-wrap-distance-left:0;mso-wrap-distance-top:11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</w:t>
      </w:r>
      <w:r>
        <w:rPr>
          <w:rStyle w:val="CharStyle24"/>
          <w:color w:val="565656"/>
        </w:rPr>
        <w:t xml:space="preserve">выдан: </w:t>
      </w:r>
      <w:r>
        <w:rPr>
          <w:rStyle w:val="CharStyle24"/>
          <w:color w:val="000000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00EA3D636CED58A70F15417FA130B2F6C</w:t>
      </w:r>
      <w:r>
        <w:rPr>
          <w:rStyle w:val="CharStyle24"/>
          <w:lang w:val="en-US" w:eastAsia="en-US"/>
        </w:rPr>
        <w:t>B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4"/>
        </w:rPr>
        <w:t xml:space="preserve">Действителен с </w:t>
      </w:r>
      <w:r>
        <w:rPr>
          <w:rStyle w:val="CharStyle24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75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Леонова Алена Альбертовна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276EF4D805B62E966E204BCBEB72461C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4"/>
        </w:rPr>
        <w:t xml:space="preserve">Действителен с 05.12.2025 </w:t>
      </w:r>
      <w:r>
        <w:rPr>
          <w:rStyle w:val="CharStyle24"/>
          <w:color w:val="565656"/>
        </w:rPr>
        <w:t xml:space="preserve">по </w:t>
      </w:r>
      <w:r>
        <w:rPr>
          <w:rStyle w:val="CharStyle24"/>
        </w:rPr>
        <w:t>28.02.2027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ПЕРЕВЕРЗЕВА ЕЛИЗАВЕТА СЕРГЕЕВНА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00FFF3ACD3A01A73F4C680C3941</w:t>
      </w:r>
      <w:r>
        <w:rPr>
          <w:rStyle w:val="CharStyle24"/>
        </w:rPr>
        <w:t>ЕЗСА026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820" w:line="266" w:lineRule="auto"/>
        <w:ind w:right="0" w:firstLine="0"/>
        <w:jc w:val="left"/>
      </w:pPr>
      <w:r>
        <w:rPr>
          <w:rStyle w:val="CharStyle24"/>
        </w:rPr>
        <w:t xml:space="preserve">Действителен с 11.12.2025 </w:t>
      </w:r>
      <w:r>
        <w:rPr>
          <w:rStyle w:val="CharStyle24"/>
          <w:color w:val="565656"/>
        </w:rPr>
        <w:t xml:space="preserve">по </w:t>
      </w:r>
      <w:r>
        <w:rPr>
          <w:rStyle w:val="CharStyle24"/>
        </w:rPr>
        <w:t>06.03.2027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7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10217150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2026-25840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804.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2026-25840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2026-25840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2026-25840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2026-25840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4.70000000000005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2026-25840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2026-25840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57.200000000000003pt;margin-top:794.70000000000005pt;width:56.899999999999999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2026-25840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298450</wp:posOffset>
              </wp:positionV>
              <wp:extent cx="1403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35000000000002pt;margin-top:23.5pt;width:11.05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476250</wp:posOffset>
              </wp:positionV>
              <wp:extent cx="14033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6.35000000000002pt;margin-top:37.5pt;width:11.0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298450</wp:posOffset>
              </wp:positionV>
              <wp:extent cx="14033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6.35000000000002pt;margin-top:23.5pt;width:11.05000000000000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476250</wp:posOffset>
              </wp:positionV>
              <wp:extent cx="14033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6.35000000000002pt;margin-top:37.5pt;width:11.05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298450</wp:posOffset>
              </wp:positionV>
              <wp:extent cx="140335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6.35000000000002pt;margin-top:23.5pt;width:11.05000000000000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476250</wp:posOffset>
              </wp:positionV>
              <wp:extent cx="140335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306.35000000000002pt;margin-top:37.5pt;width:11.05000000000000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10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Relationship Id="rId27" Type="http://schemas.openxmlformats.org/officeDocument/2006/relationships/image" Target="media/image5.jpeg"/><Relationship Id="rId28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SV1</dc:creator>
  <cp:keywords/>
</cp:coreProperties>
</file>