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43"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25.05.2026</w:t>
      </w:r>
      <w:r>
        <w:fldChar w:fldCharType="end"/>
      </w:r>
      <w:r>
        <w:rPr>
          <w:rStyle w:val="CharStyle10"/>
        </w:rPr>
        <w:tab/>
        <w:t>№ 22222/26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МГУ</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"mailto:tender@rector.msu.ru" </w:instrText>
      </w:r>
      <w:r>
        <w:fldChar w:fldCharType="separate"/>
      </w:r>
      <w:r>
        <w:rPr>
          <w:rStyle w:val="CharStyle12"/>
          <w:lang w:val="en-US" w:eastAsia="en-US"/>
        </w:rPr>
        <w:t>tender@rector.msu.ru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АО «Сбербанк-АСТ»</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"mailto:info@sberbank-ast.ru" </w:instrText>
      </w:r>
      <w:r>
        <w:fldChar w:fldCharType="separate"/>
      </w:r>
      <w:r>
        <w:rPr>
          <w:rStyle w:val="CharStyle12"/>
          <w:lang w:val="en-US" w:eastAsia="en-US"/>
        </w:rPr>
        <w:t>info@sberbank-ast.ru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«МЕДЛАЙН ЭКСПЕРТ»</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770" w:bottom="708" w:left="1265" w:header="0" w:footer="3" w:gutter="0"/>
          <w:pgNumType w:start="1"/>
          <w:cols w:num="2" w:space="1289"/>
          <w:noEndnote/>
          <w:titlePg/>
          <w:rtlGutter w:val="0"/>
          <w:docGrid w:linePitch="360"/>
        </w:sectPr>
      </w:pPr>
      <w:r>
        <w:fldChar w:fldCharType="begin"/>
      </w:r>
      <w:r>
        <w:rPr/>
        <w:instrText> HYPERLINK "mailto:m.kobrin@mlxp.ru" </w:instrText>
      </w:r>
      <w:r>
        <w:fldChar w:fldCharType="separate"/>
      </w:r>
      <w:r>
        <w:rPr>
          <w:rStyle w:val="CharStyle12"/>
          <w:lang w:val="en-US" w:eastAsia="en-US"/>
        </w:rPr>
        <w:t>m.kobrin@mlxp.ru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07" w:right="0" w:bottom="849"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750"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№077/06/105-6379/2026 </w:t>
      </w:r>
      <w:r>
        <w:rPr>
          <w:rStyle w:val="CharStyle12"/>
          <w:b/>
          <w:bCs/>
        </w:rPr>
        <w:t>о нарушении</w:t>
        <w:br/>
        <w:t>законодательства о контрактной системе</w:t>
        <w:br/>
      </w:r>
      <w:r>
        <w:rPr>
          <w:rStyle w:val="CharStyle12"/>
          <w:b/>
          <w:bCs/>
          <w:lang w:val="en-US" w:eastAsia="en-US"/>
        </w:rPr>
        <w:t>20.05.2026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специалиста-эксперта отдела обжалования государственных закупок Е.Д.Мартьяновой,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Ведущего специалиста-эксперта отдела обжалования государственных закупок </w:t>
      </w:r>
      <w:r>
        <w:rPr>
          <w:rStyle w:val="CharStyle12"/>
          <w:lang w:val="en-US" w:eastAsia="en-US"/>
        </w:rPr>
        <w:t>A.A.Леоновой,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Е.С. Переверзевой,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МГУ: И.М. Будановой (по дов. от </w:t>
      </w:r>
      <w:r>
        <w:rPr>
          <w:rStyle w:val="CharStyle12"/>
          <w:lang w:val="en-US" w:eastAsia="en-US"/>
        </w:rPr>
        <w:t xml:space="preserve">13.02.2026 №37-26/237-03), </w:t>
      </w:r>
      <w:r>
        <w:rPr>
          <w:rStyle w:val="CharStyle12"/>
        </w:rPr>
        <w:t xml:space="preserve">Р.Д. Тагирова (по дов. от </w:t>
      </w:r>
      <w:r>
        <w:rPr>
          <w:rStyle w:val="CharStyle12"/>
          <w:lang w:val="en-US" w:eastAsia="en-US"/>
        </w:rPr>
        <w:t xml:space="preserve">13.03.2026 №61-26/010-50), </w:t>
      </w:r>
      <w:r>
        <w:rPr>
          <w:rStyle w:val="CharStyle12"/>
        </w:rPr>
        <w:t xml:space="preserve">Е.П. Павликовой (по дов. от </w:t>
      </w:r>
      <w:r>
        <w:rPr>
          <w:rStyle w:val="CharStyle12"/>
          <w:lang w:val="en-US" w:eastAsia="en-US"/>
        </w:rPr>
        <w:t>20.05.2026 №127</w:t>
        <w:softHyphen/>
        <w:t xml:space="preserve">26/237-03), </w:t>
      </w:r>
      <w:r>
        <w:rPr>
          <w:rStyle w:val="CharStyle12"/>
        </w:rPr>
        <w:t>участвовавшая после перерыва заседания,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ООО «МЕДЛАЙН ЭКСПЕРТ»: М.Ю. Кобрина (по дов. от </w:t>
      </w:r>
      <w:r>
        <w:rPr>
          <w:rStyle w:val="CharStyle12"/>
          <w:lang w:val="en-US" w:eastAsia="en-US"/>
        </w:rPr>
        <w:t xml:space="preserve">12.01.2026 </w:t>
      </w:r>
      <w:r>
        <w:rPr>
          <w:rStyle w:val="CharStyle12"/>
        </w:rPr>
        <w:t xml:space="preserve">№МК- </w:t>
      </w:r>
      <w:r>
        <w:rPr>
          <w:rStyle w:val="CharStyle12"/>
          <w:lang w:val="en-US" w:eastAsia="en-US"/>
        </w:rPr>
        <w:t>1201),</w:t>
      </w:r>
    </w:p>
    <w:p>
      <w:pPr>
        <w:pStyle w:val="Style11"/>
        <w:keepNext w:val="0"/>
        <w:keepLines w:val="0"/>
        <w:widowControl w:val="0"/>
        <w:shd w:val="clear" w:color="auto" w:fill="auto"/>
        <w:tabs>
          <w:tab w:pos="2688" w:val="left"/>
        </w:tabs>
        <w:bidi w:val="0"/>
        <w:spacing w:before="0" w:after="0" w:line="240" w:lineRule="auto"/>
        <w:ind w:left="0" w:right="0" w:firstLine="700"/>
        <w:jc w:val="both"/>
      </w:pPr>
      <w:r>
        <w:rPr>
          <w:rStyle w:val="CharStyle12"/>
        </w:rPr>
        <w:t xml:space="preserve">рассмотрев жалобу ООО «МЕДЛАЙН ЭКСПЕРТ» (далее </w:t>
      </w:r>
      <w:r>
        <w:rPr>
          <w:rStyle w:val="CharStyle12"/>
          <w:lang w:val="en-US" w:eastAsia="en-US"/>
        </w:rPr>
        <w:t xml:space="preserve">- </w:t>
      </w:r>
      <w:r>
        <w:rPr>
          <w:rStyle w:val="CharStyle12"/>
        </w:rPr>
        <w:t xml:space="preserve">Заявитель) на действия МГУ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медицинских изделий (система ультразвуковой визуализации универсальная, с питанием от сети), ввод в эксплуатацию медицинских изделий для МНОИ МГУ имени М.В.Ломоносова (ИД 85946))(Закупка </w:t>
      </w:r>
      <w:r>
        <w:rPr>
          <w:rStyle w:val="CharStyle12"/>
          <w:lang w:val="en-US" w:eastAsia="en-US"/>
        </w:rPr>
        <w:t>№</w:t>
        <w:tab/>
        <w:t xml:space="preserve">0373100040126000268) </w:t>
      </w:r>
      <w:r>
        <w:rPr>
          <w:rStyle w:val="CharStyle12"/>
        </w:rPr>
        <w:t xml:space="preserve">(далее </w:t>
      </w:r>
      <w:r>
        <w:rPr>
          <w:rStyle w:val="CharStyle12"/>
          <w:lang w:val="en-US" w:eastAsia="en-US"/>
        </w:rPr>
        <w:t xml:space="preserve">— </w:t>
      </w:r>
      <w:r>
        <w:rPr>
          <w:rStyle w:val="CharStyle12"/>
        </w:rPr>
        <w:t>аукцион), в соответствии с</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Федеральным законом от </w:t>
      </w:r>
      <w:r>
        <w:rPr>
          <w:rStyle w:val="CharStyle12"/>
          <w:lang w:val="en-US" w:eastAsia="en-US"/>
        </w:rPr>
        <w:t xml:space="preserve">05.04.2013 </w:t>
      </w:r>
      <w:r>
        <w:rPr>
          <w:rStyle w:val="CharStyle12"/>
        </w:rPr>
        <w:t>№44-ФЗ «О контрактной системе в сфере</w:t>
      </w:r>
    </w:p>
    <w:p>
      <w:pPr>
        <w:widowControl w:val="0"/>
        <w:spacing w:line="1" w:lineRule="exact"/>
      </w:pPr>
      <w:r>
        <w:drawing>
          <wp:anchor distT="50800" distB="0" distL="0" distR="0" simplePos="0" relativeHeight="125829378" behindDoc="0" locked="0" layoutInCell="1" allowOverlap="1">
            <wp:simplePos x="0" y="0"/>
            <wp:positionH relativeFrom="page">
              <wp:posOffset>717550</wp:posOffset>
            </wp:positionH>
            <wp:positionV relativeFrom="paragraph">
              <wp:posOffset>50800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40" w:line="240" w:lineRule="auto"/>
        <w:ind w:left="0" w:right="0" w:firstLine="0"/>
        <w:jc w:val="both"/>
      </w:pPr>
      <w:r>
        <w:rPr>
          <w:rStyle w:val="CharStyle12"/>
        </w:rPr>
        <w:t xml:space="preserve">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numPr>
          <w:ilvl w:val="0"/>
          <w:numId w:val="1"/>
        </w:numPr>
        <w:shd w:val="clear" w:color="auto" w:fill="auto"/>
        <w:tabs>
          <w:tab w:pos="1105" w:val="left"/>
        </w:tabs>
        <w:bidi w:val="0"/>
        <w:spacing w:before="0" w:after="0" w:line="240" w:lineRule="auto"/>
        <w:ind w:left="0" w:right="0" w:firstLine="720"/>
        <w:jc w:val="both"/>
      </w:pPr>
      <w:r>
        <w:rPr>
          <w:rStyle w:val="CharStyle12"/>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КТРУ), соответствующие закупаемым Заказчиком изделиям.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частности, Заявитель указывает на следующую позицию КТРУ:</w:t>
      </w:r>
    </w:p>
    <w:p>
      <w:pPr>
        <w:pStyle w:val="Style11"/>
        <w:keepNext w:val="0"/>
        <w:keepLines w:val="0"/>
        <w:widowControl w:val="0"/>
        <w:shd w:val="clear" w:color="auto" w:fill="auto"/>
        <w:bidi w:val="0"/>
        <w:spacing w:before="0" w:after="0" w:line="240" w:lineRule="auto"/>
        <w:ind w:left="0" w:right="0" w:firstLine="720"/>
        <w:jc w:val="both"/>
      </w:pPr>
      <w:r>
        <w:rPr>
          <w:rStyle w:val="CharStyle12"/>
          <w:lang w:val="en-US" w:eastAsia="en-US"/>
        </w:rPr>
        <w:t xml:space="preserve">- </w:t>
      </w:r>
      <w:r>
        <w:rPr>
          <w:rStyle w:val="CharStyle12"/>
        </w:rPr>
        <w:t xml:space="preserve">по позиции «Система ультразвуковой визуализации универсальная, с питанием от сети» описания объекта закупки соответствует позиция КТРУ </w:t>
      </w:r>
      <w:r>
        <w:rPr>
          <w:rStyle w:val="CharStyle12"/>
          <w:lang w:val="en-US" w:eastAsia="en-US"/>
        </w:rPr>
        <w:t>26.60.12.132-00000036.</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1"/>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rStyle w:val="CharStyle12"/>
        </w:rPr>
        <w:t>сопровождение такого указания словами «или эквивалент»;</w:t>
      </w:r>
    </w:p>
    <w:p>
      <w:pPr>
        <w:pStyle w:val="Style11"/>
        <w:keepNext w:val="0"/>
        <w:keepLines w:val="0"/>
        <w:widowControl w:val="0"/>
        <w:numPr>
          <w:ilvl w:val="0"/>
          <w:numId w:val="3"/>
        </w:numPr>
        <w:shd w:val="clear" w:color="auto" w:fill="auto"/>
        <w:tabs>
          <w:tab w:pos="1122" w:val="left"/>
        </w:tabs>
        <w:bidi w:val="0"/>
        <w:spacing w:before="0" w:after="0" w:line="240" w:lineRule="auto"/>
        <w:ind w:left="0" w:right="0" w:firstLine="720"/>
        <w:jc w:val="both"/>
      </w:pPr>
      <w:r>
        <w:rPr>
          <w:rStyle w:val="CharStyle12"/>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1"/>
        <w:keepNext w:val="0"/>
        <w:keepLines w:val="0"/>
        <w:widowControl w:val="0"/>
        <w:numPr>
          <w:ilvl w:val="0"/>
          <w:numId w:val="3"/>
        </w:numPr>
        <w:shd w:val="clear" w:color="auto" w:fill="auto"/>
        <w:tabs>
          <w:tab w:pos="1117" w:val="left"/>
        </w:tabs>
        <w:bidi w:val="0"/>
        <w:spacing w:before="0" w:after="0" w:line="240" w:lineRule="auto"/>
        <w:ind w:left="0" w:right="0" w:firstLine="720"/>
        <w:jc w:val="both"/>
      </w:pPr>
      <w:r>
        <w:rPr>
          <w:rStyle w:val="CharStyle12"/>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numPr>
          <w:ilvl w:val="0"/>
          <w:numId w:val="3"/>
        </w:numPr>
        <w:shd w:val="clear" w:color="auto" w:fill="auto"/>
        <w:tabs>
          <w:tab w:pos="1105" w:val="left"/>
        </w:tabs>
        <w:bidi w:val="0"/>
        <w:spacing w:before="0" w:after="260" w:line="240" w:lineRule="auto"/>
        <w:ind w:left="0" w:right="0" w:firstLine="720"/>
        <w:jc w:val="both"/>
      </w:pPr>
      <w:r>
        <w:rPr>
          <w:rStyle w:val="CharStyle12"/>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2"/>
          <w:lang w:val="en-US" w:eastAsia="en-US"/>
        </w:rPr>
        <w:t xml:space="preserve">- </w:t>
      </w:r>
      <w:r>
        <w:rPr>
          <w:rStyle w:val="CharStyle12"/>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Постановлением Правительства Российской Федерации от </w:t>
      </w:r>
      <w:r>
        <w:rPr>
          <w:rStyle w:val="CharStyle12"/>
          <w:lang w:val="en-US" w:eastAsia="en-US"/>
        </w:rPr>
        <w:t xml:space="preserve">08.02.2017 №145 </w:t>
      </w:r>
      <w:r>
        <w:rPr>
          <w:rStyle w:val="CharStyle12"/>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Правила использования КТРУ).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1"/>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12"/>
        </w:rPr>
        <w:t>извещении об осуществлении закупки;</w:t>
      </w:r>
    </w:p>
    <w:p>
      <w:pPr>
        <w:pStyle w:val="Style11"/>
        <w:keepNext w:val="0"/>
        <w:keepLines w:val="0"/>
        <w:widowControl w:val="0"/>
        <w:numPr>
          <w:ilvl w:val="0"/>
          <w:numId w:val="5"/>
        </w:numPr>
        <w:shd w:val="clear" w:color="auto" w:fill="auto"/>
        <w:tabs>
          <w:tab w:pos="1418" w:val="left"/>
        </w:tabs>
        <w:bidi w:val="0"/>
        <w:spacing w:before="0" w:after="0" w:line="240" w:lineRule="auto"/>
        <w:ind w:left="0" w:right="0" w:firstLine="700"/>
        <w:jc w:val="both"/>
      </w:pPr>
      <w:r>
        <w:rPr>
          <w:rStyle w:val="CharStyle12"/>
        </w:rPr>
        <w:t xml:space="preserve">приглашении принять участие в определении поставщика (подрядчика, исполнителя) (далее </w:t>
      </w:r>
      <w:r>
        <w:rPr>
          <w:rStyle w:val="CharStyle12"/>
          <w:lang w:val="en-US" w:eastAsia="en-US"/>
        </w:rPr>
        <w:t xml:space="preserve">— </w:t>
      </w:r>
      <w:r>
        <w:rPr>
          <w:rStyle w:val="CharStyle12"/>
        </w:rPr>
        <w:t>приглашение);</w:t>
      </w:r>
    </w:p>
    <w:p>
      <w:pPr>
        <w:pStyle w:val="Style11"/>
        <w:keepNext w:val="0"/>
        <w:keepLines w:val="0"/>
        <w:widowControl w:val="0"/>
        <w:numPr>
          <w:ilvl w:val="0"/>
          <w:numId w:val="5"/>
        </w:numPr>
        <w:shd w:val="clear" w:color="auto" w:fill="auto"/>
        <w:tabs>
          <w:tab w:pos="1384" w:val="left"/>
          <w:tab w:pos="10209" w:val="right"/>
        </w:tabs>
        <w:bidi w:val="0"/>
        <w:spacing w:before="0" w:after="0" w:line="240" w:lineRule="auto"/>
        <w:ind w:left="0" w:right="0" w:firstLine="700"/>
        <w:jc w:val="both"/>
      </w:pPr>
      <w:r>
        <w:rPr>
          <w:rStyle w:val="CharStyle12"/>
        </w:rPr>
        <w:t>документации о закупке (в случае если</w:t>
        <w:tab/>
        <w:t>Федеральным законом</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предусмотрена документация о закупке);</w:t>
      </w:r>
    </w:p>
    <w:p>
      <w:pPr>
        <w:pStyle w:val="Style11"/>
        <w:keepNext w:val="0"/>
        <w:keepLines w:val="0"/>
        <w:widowControl w:val="0"/>
        <w:numPr>
          <w:ilvl w:val="0"/>
          <w:numId w:val="5"/>
        </w:numPr>
        <w:shd w:val="clear" w:color="auto" w:fill="auto"/>
        <w:tabs>
          <w:tab w:pos="1384" w:val="left"/>
        </w:tabs>
        <w:bidi w:val="0"/>
        <w:spacing w:before="0" w:after="0" w:line="240" w:lineRule="auto"/>
        <w:ind w:left="0" w:right="0" w:firstLine="700"/>
        <w:jc w:val="both"/>
      </w:pPr>
      <w:r>
        <w:rPr>
          <w:rStyle w:val="CharStyle12"/>
        </w:rPr>
        <w:t>контракте;</w:t>
      </w:r>
    </w:p>
    <w:p>
      <w:pPr>
        <w:pStyle w:val="Style11"/>
        <w:keepNext w:val="0"/>
        <w:keepLines w:val="0"/>
        <w:widowControl w:val="0"/>
        <w:numPr>
          <w:ilvl w:val="0"/>
          <w:numId w:val="5"/>
        </w:numPr>
        <w:shd w:val="clear" w:color="auto" w:fill="auto"/>
        <w:tabs>
          <w:tab w:pos="1384" w:val="left"/>
        </w:tabs>
        <w:bidi w:val="0"/>
        <w:spacing w:before="0" w:after="0" w:line="240" w:lineRule="auto"/>
        <w:ind w:left="0" w:right="0" w:firstLine="700"/>
        <w:jc w:val="both"/>
      </w:pPr>
      <w:r>
        <w:rPr>
          <w:rStyle w:val="CharStyle12"/>
        </w:rPr>
        <w:t>реестре контрактов, заключенных заказчиками.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7"/>
        </w:numPr>
        <w:shd w:val="clear" w:color="auto" w:fill="auto"/>
        <w:tabs>
          <w:tab w:pos="1384" w:val="left"/>
        </w:tabs>
        <w:bidi w:val="0"/>
        <w:spacing w:before="0" w:after="0" w:line="240" w:lineRule="auto"/>
        <w:ind w:left="0" w:right="0" w:firstLine="700"/>
        <w:jc w:val="both"/>
      </w:pPr>
      <w:r>
        <w:rPr>
          <w:rStyle w:val="CharStyle12"/>
        </w:rPr>
        <w:t>наименование товара, работы, услуги;</w:t>
      </w:r>
    </w:p>
    <w:p>
      <w:pPr>
        <w:pStyle w:val="Style11"/>
        <w:keepNext w:val="0"/>
        <w:keepLines w:val="0"/>
        <w:widowControl w:val="0"/>
        <w:numPr>
          <w:ilvl w:val="0"/>
          <w:numId w:val="7"/>
        </w:numPr>
        <w:shd w:val="clear" w:color="auto" w:fill="auto"/>
        <w:tabs>
          <w:tab w:pos="1418" w:val="left"/>
        </w:tabs>
        <w:bidi w:val="0"/>
        <w:spacing w:before="0" w:after="0" w:line="240" w:lineRule="auto"/>
        <w:ind w:left="0" w:right="0" w:firstLine="700"/>
        <w:jc w:val="both"/>
      </w:pPr>
      <w:r>
        <w:rPr>
          <w:rStyle w:val="CharStyle12"/>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7"/>
        </w:numPr>
        <w:shd w:val="clear" w:color="auto" w:fill="auto"/>
        <w:tabs>
          <w:tab w:pos="1418" w:val="left"/>
        </w:tabs>
        <w:bidi w:val="0"/>
        <w:spacing w:before="0" w:after="0" w:line="240" w:lineRule="auto"/>
        <w:ind w:left="0" w:right="0" w:firstLine="700"/>
        <w:jc w:val="both"/>
      </w:pPr>
      <w:r>
        <w:rPr>
          <w:rStyle w:val="CharStyle12"/>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62" w:lineRule="auto"/>
        <w:ind w:left="0" w:right="0" w:firstLine="700"/>
        <w:jc w:val="both"/>
      </w:pPr>
      <w:r>
        <w:rPr>
          <w:rStyle w:val="CharStyle12"/>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11"/>
        <w:keepNext w:val="0"/>
        <w:keepLines w:val="0"/>
        <w:widowControl w:val="0"/>
        <w:numPr>
          <w:ilvl w:val="0"/>
          <w:numId w:val="9"/>
        </w:numPr>
        <w:shd w:val="clear" w:color="auto" w:fill="auto"/>
        <w:tabs>
          <w:tab w:pos="987" w:val="left"/>
        </w:tabs>
        <w:bidi w:val="0"/>
        <w:spacing w:before="0" w:after="0" w:line="262" w:lineRule="auto"/>
        <w:ind w:left="0" w:right="0" w:firstLine="700"/>
        <w:jc w:val="both"/>
      </w:pPr>
      <w:r>
        <w:rPr>
          <w:rStyle w:val="CharStyle12"/>
        </w:rPr>
        <w:t xml:space="preserve">) 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2"/>
          <w:lang w:val="en-US" w:eastAsia="en-US"/>
        </w:rPr>
        <w:t xml:space="preserve">25, 26 </w:t>
      </w:r>
      <w:r>
        <w:rPr>
          <w:rStyle w:val="CharStyle12"/>
        </w:rPr>
        <w:t xml:space="preserve">и </w:t>
      </w:r>
      <w:r>
        <w:rPr>
          <w:rStyle w:val="CharStyle12"/>
          <w:lang w:val="en-US" w:eastAsia="en-US"/>
        </w:rPr>
        <w:t xml:space="preserve">32 </w:t>
      </w:r>
      <w:r>
        <w:rPr>
          <w:rStyle w:val="CharStyle12"/>
        </w:rPr>
        <w:t xml:space="preserve">приложения </w:t>
      </w:r>
      <w:r>
        <w:rPr>
          <w:rStyle w:val="CharStyle12"/>
          <w:lang w:val="en-US" w:eastAsia="en-US"/>
        </w:rPr>
        <w:t xml:space="preserve">№1 </w:t>
      </w:r>
      <w:r>
        <w:rPr>
          <w:rStyle w:val="CharStyle12"/>
        </w:rPr>
        <w:t xml:space="preserve">к постановлению Правительства Российской Федерации от </w:t>
      </w:r>
      <w:r>
        <w:rPr>
          <w:rStyle w:val="CharStyle12"/>
          <w:lang w:val="en-US" w:eastAsia="en-US"/>
        </w:rPr>
        <w:t xml:space="preserve">23 </w:t>
      </w:r>
      <w:r>
        <w:rPr>
          <w:rStyle w:val="CharStyle12"/>
        </w:rPr>
        <w:t xml:space="preserve">декабря </w:t>
      </w:r>
      <w:r>
        <w:rPr>
          <w:rStyle w:val="CharStyle12"/>
          <w:lang w:val="en-US" w:eastAsia="en-US"/>
        </w:rPr>
        <w:t xml:space="preserve">2024 </w:t>
      </w:r>
      <w:r>
        <w:rPr>
          <w:rStyle w:val="CharStyle12"/>
        </w:rPr>
        <w:t xml:space="preserve">г. </w:t>
      </w:r>
      <w:r>
        <w:rPr>
          <w:rStyle w:val="CharStyle12"/>
          <w:lang w:val="en-US" w:eastAsia="en-US"/>
        </w:rPr>
        <w:t xml:space="preserve">№1875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Постановление№1875), позициях </w:t>
      </w:r>
      <w:r>
        <w:rPr>
          <w:rStyle w:val="CharStyle12"/>
          <w:lang w:val="en-US" w:eastAsia="en-US"/>
        </w:rPr>
        <w:t xml:space="preserve">191 - 361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применяются предусмотренные п.1 Постановления </w:t>
      </w:r>
      <w:r>
        <w:rPr>
          <w:rStyle w:val="CharStyle12"/>
          <w:lang w:val="en-US" w:eastAsia="en-US"/>
        </w:rPr>
        <w:t xml:space="preserve">№1875 </w:t>
      </w:r>
      <w:r>
        <w:rPr>
          <w:rStyle w:val="CharStyle12"/>
        </w:rPr>
        <w:t>запрет, ограничение соответственно;</w:t>
      </w:r>
    </w:p>
    <w:p>
      <w:pPr>
        <w:pStyle w:val="Style11"/>
        <w:keepNext w:val="0"/>
        <w:keepLines w:val="0"/>
        <w:widowControl w:val="0"/>
        <w:numPr>
          <w:ilvl w:val="0"/>
          <w:numId w:val="9"/>
        </w:numPr>
        <w:shd w:val="clear" w:color="auto" w:fill="auto"/>
        <w:tabs>
          <w:tab w:pos="991" w:val="left"/>
        </w:tabs>
        <w:bidi w:val="0"/>
        <w:spacing w:before="0" w:after="0" w:line="262" w:lineRule="auto"/>
        <w:ind w:left="0" w:right="0" w:firstLine="700"/>
        <w:jc w:val="both"/>
      </w:pPr>
      <w:r>
        <w:rPr>
          <w:rStyle w:val="CharStyle12"/>
        </w:rPr>
        <w:t>)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11"/>
        <w:keepNext w:val="0"/>
        <w:keepLines w:val="0"/>
        <w:widowControl w:val="0"/>
        <w:numPr>
          <w:ilvl w:val="0"/>
          <w:numId w:val="9"/>
        </w:numPr>
        <w:shd w:val="clear" w:color="auto" w:fill="auto"/>
        <w:tabs>
          <w:tab w:pos="1063" w:val="left"/>
        </w:tabs>
        <w:bidi w:val="0"/>
        <w:spacing w:before="0" w:after="0" w:line="262" w:lineRule="auto"/>
        <w:ind w:left="0" w:right="0" w:firstLine="700"/>
        <w:jc w:val="both"/>
        <w:sectPr>
          <w:footnotePr>
            <w:pos w:val="pageBottom"/>
            <w:numFmt w:val="decimal"/>
            <w:numRestart w:val="continuous"/>
          </w:footnotePr>
          <w:type w:val="continuous"/>
          <w:pgSz w:w="11900" w:h="16840"/>
          <w:pgMar w:top="607" w:right="540" w:bottom="849" w:left="1102" w:header="0" w:footer="3" w:gutter="0"/>
          <w:cols w:space="720"/>
          <w:noEndnote/>
          <w:rtlGutter w:val="0"/>
          <w:docGrid w:linePitch="360"/>
        </w:sectPr>
      </w:pPr>
      <w:r>
        <w:rPr>
          <w:rStyle w:val="CharStyle12"/>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57" w:lineRule="auto"/>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57" w:lineRule="auto"/>
        <w:ind w:left="0" w:right="0" w:firstLine="700"/>
        <w:jc w:val="both"/>
      </w:pPr>
      <w:r>
        <w:rPr>
          <w:rStyle w:val="CharStyle12"/>
        </w:rPr>
        <w:t xml:space="preserve">Комиссией Управления установлено, что, согласно извещению об осуществлении закупки Заказчиком закупается «Система ультразвуковой визуализации универсальная, с питанием от сети», которая, в свою очередь, соответствует виду кода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 </w:t>
      </w:r>
      <w:r>
        <w:rPr>
          <w:rStyle w:val="CharStyle12"/>
          <w:lang w:val="en-US" w:eastAsia="en-US"/>
        </w:rPr>
        <w:t xml:space="preserve">2): 26.60.12.132 </w:t>
      </w:r>
      <w:r>
        <w:rPr>
          <w:rStyle w:val="CharStyle12"/>
        </w:rPr>
        <w:t>«Аппараты ультразвукового сканирования».</w:t>
      </w:r>
    </w:p>
    <w:p>
      <w:pPr>
        <w:pStyle w:val="Style11"/>
        <w:keepNext w:val="0"/>
        <w:keepLines w:val="0"/>
        <w:widowControl w:val="0"/>
        <w:shd w:val="clear" w:color="auto" w:fill="auto"/>
        <w:bidi w:val="0"/>
        <w:spacing w:before="0" w:after="0" w:line="257" w:lineRule="auto"/>
        <w:ind w:left="0" w:right="0" w:firstLine="700"/>
        <w:jc w:val="both"/>
      </w:pPr>
      <w:r>
        <w:rPr>
          <w:rStyle w:val="CharStyle12"/>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11"/>
        <w:keepNext w:val="0"/>
        <w:keepLines w:val="0"/>
        <w:widowControl w:val="0"/>
        <w:shd w:val="clear" w:color="auto" w:fill="auto"/>
        <w:bidi w:val="0"/>
        <w:spacing w:before="0" w:after="0" w:line="257" w:lineRule="auto"/>
        <w:ind w:left="0" w:right="0" w:firstLine="700"/>
        <w:jc w:val="both"/>
      </w:pPr>
      <w:r>
        <w:rPr>
          <w:rStyle w:val="CharStyle12"/>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1"/>
        <w:keepNext w:val="0"/>
        <w:keepLines w:val="0"/>
        <w:widowControl w:val="0"/>
        <w:numPr>
          <w:ilvl w:val="0"/>
          <w:numId w:val="9"/>
        </w:numPr>
        <w:shd w:val="clear" w:color="auto" w:fill="auto"/>
        <w:tabs>
          <w:tab w:pos="918" w:val="left"/>
        </w:tabs>
        <w:bidi w:val="0"/>
        <w:spacing w:before="0" w:after="0" w:line="257" w:lineRule="auto"/>
        <w:ind w:left="0" w:right="0" w:firstLine="700"/>
        <w:jc w:val="both"/>
      </w:pPr>
      <w:r>
        <w:rPr>
          <w:rStyle w:val="CharStyle12"/>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11"/>
        <w:keepNext w:val="0"/>
        <w:keepLines w:val="0"/>
        <w:widowControl w:val="0"/>
        <w:numPr>
          <w:ilvl w:val="0"/>
          <w:numId w:val="9"/>
        </w:numPr>
        <w:shd w:val="clear" w:color="auto" w:fill="auto"/>
        <w:tabs>
          <w:tab w:pos="918" w:val="left"/>
        </w:tabs>
        <w:bidi w:val="0"/>
        <w:spacing w:before="0" w:after="0" w:line="283"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68" w:left="1106" w:header="0" w:footer="240" w:gutter="0"/>
          <w:cols w:space="720"/>
          <w:noEndnote/>
          <w:rtlGutter w:val="0"/>
          <w:docGrid w:linePitch="360"/>
        </w:sectPr>
      </w:pPr>
      <w:r>
        <w:rPr>
          <w:rStyle w:val="CharStyle12"/>
        </w:rPr>
        <w:t xml:space="preserve">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w:t>
      </w:r>
      <w:r>
        <w:rPr>
          <w:rStyle w:val="CharStyle12"/>
          <w:sz w:val="24"/>
          <w:szCs w:val="24"/>
          <w:lang w:val="en-US" w:eastAsia="en-US"/>
        </w:rPr>
        <w:t>2026-25346</w:t>
      </w:r>
    </w:p>
    <w:p>
      <w:pPr>
        <w:pStyle w:val="Style11"/>
        <w:keepNext w:val="0"/>
        <w:keepLines w:val="0"/>
        <w:widowControl w:val="0"/>
        <w:shd w:val="clear" w:color="auto" w:fill="auto"/>
        <w:bidi w:val="0"/>
        <w:spacing w:before="0" w:after="0" w:line="240" w:lineRule="auto"/>
        <w:ind w:left="0" w:right="0" w:firstLine="0"/>
        <w:jc w:val="both"/>
      </w:pPr>
      <w:r>
        <w:rPr>
          <w:rStyle w:val="CharStyle12"/>
        </w:rPr>
        <w:t>ст.19 Закона о контрактной системе.</w:t>
      </w:r>
    </w:p>
    <w:p>
      <w:pPr>
        <w:pStyle w:val="Style11"/>
        <w:keepNext w:val="0"/>
        <w:keepLines w:val="0"/>
        <w:widowControl w:val="0"/>
        <w:numPr>
          <w:ilvl w:val="0"/>
          <w:numId w:val="9"/>
        </w:numPr>
        <w:shd w:val="clear" w:color="auto" w:fill="auto"/>
        <w:tabs>
          <w:tab w:pos="922" w:val="left"/>
        </w:tabs>
        <w:bidi w:val="0"/>
        <w:spacing w:before="0" w:after="0" w:line="240" w:lineRule="auto"/>
        <w:ind w:left="0" w:right="0" w:firstLine="720"/>
        <w:jc w:val="both"/>
      </w:pPr>
      <w:r>
        <w:rPr>
          <w:rStyle w:val="CharStyle12"/>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заседании Комиссии Управления представитель Заказчика пояснил, что поскольку в КТРУ отсутствует позиция, полностью соответствующая потребностям Заказчика, Заказчик использовал код ОКПД2 </w:t>
      </w:r>
      <w:r>
        <w:rPr>
          <w:rStyle w:val="CharStyle12"/>
          <w:lang w:val="en-US" w:eastAsia="en-US"/>
        </w:rPr>
        <w:t xml:space="preserve">26.60.12.132 </w:t>
      </w:r>
      <w:r>
        <w:rPr>
          <w:rStyle w:val="CharStyle12"/>
        </w:rPr>
        <w:t>и описал объект закупки в соответствии со ст.33 Закона о контрактной системе. Установленные характеристики обусловлены клинической необходимостью и специализированным профилем деятельности организации.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Вместе с тем позиция КТРУ </w:t>
      </w:r>
      <w:r>
        <w:rPr>
          <w:rStyle w:val="CharStyle12"/>
          <w:lang w:val="en-US" w:eastAsia="en-US"/>
        </w:rPr>
        <w:t xml:space="preserve">26.60.12.132-00000036 </w:t>
      </w:r>
      <w:r>
        <w:rPr>
          <w:rStyle w:val="CharStyle12"/>
        </w:rPr>
        <w:t>не содержит всех характеристик, необходимых Заказчику, при этом стандартные характеристики данной позиции не обеспечивают выполнение специализированных диагностических задач учреждения.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свою очередь, Комиссия Управления отмечает, что в силу п.4 Правил использования КТРУ Заказчики обязаны применять информацию, включенную в позицию каталога, при этом факт выбора кода ОКПД2 с учетом наличия соответствующей описанию объекта закупки позиции КТРУ не освобождает Заказчика от обязанности использования указанной позиции.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Кроме того, Комиссия Управления отмечает, что в случае, если позиция КТРУ не в полной мере отражает потребности Заказчика с учетом специфики использования товара в медицинских целях, Заказчик вправе дополнить описание необходимыми характеристиками, что не противоречит положениям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свою очередь, Комиссия Управления отмечает, что, например, согласно описанию объекта закупки, Заказчиком закупается товар «Система ультразвуковой визуализации универсальная, с питанием от сети», тогда как по позиции КТРУ </w:t>
      </w:r>
      <w:r>
        <w:rPr>
          <w:rStyle w:val="CharStyle12"/>
          <w:lang w:val="en-US" w:eastAsia="en-US"/>
        </w:rPr>
        <w:t xml:space="preserve">26.60.12.132-00000036 </w:t>
      </w:r>
      <w:r>
        <w:rPr>
          <w:rStyle w:val="CharStyle12"/>
        </w:rPr>
        <w:t xml:space="preserve">в разделе «Описание товара, работы, услуги» содержится характеристика «Датчик дополнительный </w:t>
      </w:r>
      <w:r>
        <w:rPr>
          <w:rStyle w:val="CharStyle12"/>
          <w:lang w:val="en-US" w:eastAsia="en-US"/>
        </w:rPr>
        <w:t xml:space="preserve">№1», </w:t>
      </w:r>
      <w:r>
        <w:rPr>
          <w:rStyle w:val="CharStyle12"/>
        </w:rPr>
        <w:t xml:space="preserve">включающая в себя, в том числе следующее значение: «Нет», что напрямую соотносится с закупаемым объектом закупки, более того содержится характеристика «Архивация изображений на внешние носители, через порт </w:t>
      </w:r>
      <w:r>
        <w:rPr>
          <w:rStyle w:val="CharStyle12"/>
          <w:lang w:val="en-US" w:eastAsia="en-US"/>
        </w:rPr>
        <w:t xml:space="preserve">USB </w:t>
      </w:r>
      <w:r>
        <w:rPr>
          <w:rStyle w:val="CharStyle12"/>
        </w:rPr>
        <w:t>(характеристика не является обязательной для применения): Да», что также напрямую соотносится с закупаемым объектом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Управления полагает, что Заказчиком не учтено, что согласно п.4 Правил использования КТРУ, Заказчики обязаны использовать сведения, указанные в позиции КТРУ, при формировании описания объекта закупки, при условии, что в КТРУ имеется позиция, соответствующая закупаемому изделию.</w:t>
      </w:r>
    </w:p>
    <w:p>
      <w:pPr>
        <w:pStyle w:val="Style11"/>
        <w:keepNext w:val="0"/>
        <w:keepLines w:val="0"/>
        <w:widowControl w:val="0"/>
        <w:shd w:val="clear" w:color="auto" w:fill="auto"/>
        <w:bidi w:val="0"/>
        <w:spacing w:before="0" w:after="0" w:line="254" w:lineRule="auto"/>
        <w:ind w:left="0" w:right="0" w:firstLine="700"/>
        <w:jc w:val="both"/>
      </w:pPr>
      <w:r>
        <w:rPr>
          <w:rStyle w:val="CharStyle12"/>
        </w:rPr>
        <w:t>Вместе с этим Комиссия Управления отмечает, что, в соответствии с пп.«в» п.4 Правил использования КТРУ, Заказчик обязан указывать информацию, указанную в описание товара, при наличии такого описания в позиции, в связи с чем, в отсутствие описания товара в позиции КТРУ Заказчик вправе сформировать описание объекта закупки в соответствии с ст.33 Закона о контрактной системе.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Аналогичная правовая позиция изложена в постановлении Девятого арбитражного апелляционного суда по делу </w:t>
      </w:r>
      <w:r>
        <w:rPr>
          <w:rStyle w:val="CharStyle12"/>
          <w:lang w:val="en-US" w:eastAsia="en-US"/>
        </w:rPr>
        <w:t xml:space="preserve">№ </w:t>
      </w:r>
      <w:r>
        <w:rPr>
          <w:rStyle w:val="CharStyle12"/>
        </w:rPr>
        <w:t xml:space="preserve">А40-230806/23 от </w:t>
      </w:r>
      <w:r>
        <w:rPr>
          <w:rStyle w:val="CharStyle12"/>
          <w:lang w:val="en-US" w:eastAsia="en-US"/>
        </w:rPr>
        <w:t xml:space="preserve">29.02.2024, </w:t>
      </w:r>
      <w:r>
        <w:rPr>
          <w:rStyle w:val="CharStyle12"/>
        </w:rPr>
        <w:t xml:space="preserve">а также в постановлении Арбитражного суда Московского округа №А40-298128/2023 от </w:t>
      </w:r>
      <w:r>
        <w:rPr>
          <w:rStyle w:val="CharStyle12"/>
          <w:lang w:val="en-US" w:eastAsia="en-US"/>
        </w:rPr>
        <w:t>03.02.2025.</w:t>
      </w:r>
    </w:p>
    <w:p>
      <w:pPr>
        <w:pStyle w:val="Style11"/>
        <w:keepNext w:val="0"/>
        <w:keepLines w:val="0"/>
        <w:widowControl w:val="0"/>
        <w:shd w:val="clear" w:color="auto" w:fill="auto"/>
        <w:bidi w:val="0"/>
        <w:spacing w:before="0" w:after="0" w:line="254" w:lineRule="auto"/>
        <w:ind w:left="0" w:right="0" w:firstLine="700"/>
        <w:jc w:val="both"/>
      </w:pPr>
      <w:r>
        <w:rPr>
          <w:rStyle w:val="CharStyle12"/>
        </w:rPr>
        <w:t>На основании вышеизложенного Комиссия Управления приходит к выводу, что при описании объекта закупки Заказчиком неправомерно не применена позиция КТРУ, соответствующая закупаемому товару, что повлекло за собой неправомерное установление Заказчиком дополнительных требований к характеристикам товара, отсутствующих в позиции КТРУ.</w:t>
      </w:r>
    </w:p>
    <w:p>
      <w:pPr>
        <w:pStyle w:val="Style11"/>
        <w:keepNext w:val="0"/>
        <w:keepLines w:val="0"/>
        <w:widowControl w:val="0"/>
        <w:shd w:val="clear" w:color="auto" w:fill="auto"/>
        <w:bidi w:val="0"/>
        <w:spacing w:before="0" w:after="0" w:line="254" w:lineRule="auto"/>
        <w:ind w:left="0" w:right="0" w:firstLine="700"/>
        <w:jc w:val="both"/>
      </w:pPr>
      <w:r>
        <w:rPr>
          <w:rStyle w:val="CharStyle12"/>
        </w:rPr>
        <w:t>Исходя из вышеизложенного, Комиссия Управления приходит к выводу о нарушении Заказчиком ч.6 ст.23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40" w:lineRule="auto"/>
        <w:ind w:left="0" w:right="0" w:firstLine="700"/>
        <w:jc w:val="both"/>
      </w:pPr>
      <w:r>
        <w:rPr>
          <w:rStyle w:val="CharStyle12"/>
          <w:lang w:val="en-US" w:eastAsia="en-US"/>
        </w:rPr>
        <w:t xml:space="preserve">2. </w:t>
      </w:r>
      <w:r>
        <w:rPr>
          <w:rStyle w:val="CharStyle12"/>
        </w:rPr>
        <w:t xml:space="preserve">Более того, в составе жалобы Заявитель указывает, что установленные Заказчиком требования к характеристикам необходимого к поставке товара «Система ультразвуковой визуализации универсальная, с питанием от сети» ограничивают круг участников закупки, поскольку совокупности установленных требований соответствуют исключительно товары единственного производителя, а именно УЗИ-аппарат </w:t>
      </w:r>
      <w:r>
        <w:rPr>
          <w:rStyle w:val="CharStyle12"/>
          <w:lang w:val="en-US" w:eastAsia="en-US"/>
        </w:rPr>
        <w:t xml:space="preserve">GE HealthCare Vivid E95 </w:t>
      </w:r>
      <w:r>
        <w:rPr>
          <w:rStyle w:val="CharStyle12"/>
        </w:rPr>
        <w:t xml:space="preserve">производства компании </w:t>
      </w:r>
      <w:r>
        <w:rPr>
          <w:rStyle w:val="CharStyle12"/>
          <w:lang w:val="en-US" w:eastAsia="en-US"/>
        </w:rPr>
        <w:t xml:space="preserve">GE Healthcare (General Electric), </w:t>
      </w:r>
      <w:r>
        <w:rPr>
          <w:rStyle w:val="CharStyle12"/>
        </w:rPr>
        <w:t xml:space="preserve">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 xml:space="preserve">2016/3871 </w:t>
      </w:r>
      <w:r>
        <w:rPr>
          <w:rStyle w:val="CharStyle12"/>
        </w:rPr>
        <w:t xml:space="preserve">от </w:t>
      </w:r>
      <w:r>
        <w:rPr>
          <w:rStyle w:val="CharStyle12"/>
          <w:lang w:val="en-US" w:eastAsia="en-US"/>
        </w:rPr>
        <w:t xml:space="preserve">14.10.2019, </w:t>
      </w:r>
      <w:r>
        <w:rPr>
          <w:rStyle w:val="CharStyle12"/>
        </w:rPr>
        <w:t>при этом ограничивающими требованиями являются, в частности:</w:t>
      </w:r>
    </w:p>
    <w:p>
      <w:pPr>
        <w:pStyle w:val="Style11"/>
        <w:keepNext w:val="0"/>
        <w:keepLines w:val="0"/>
        <w:widowControl w:val="0"/>
        <w:numPr>
          <w:ilvl w:val="0"/>
          <w:numId w:val="11"/>
        </w:numPr>
        <w:shd w:val="clear" w:color="auto" w:fill="auto"/>
        <w:tabs>
          <w:tab w:pos="845" w:val="left"/>
        </w:tabs>
        <w:bidi w:val="0"/>
        <w:spacing w:before="0" w:after="0" w:line="240" w:lineRule="auto"/>
        <w:ind w:left="0" w:right="0" w:firstLine="700"/>
        <w:jc w:val="both"/>
      </w:pPr>
      <w:r>
        <w:rPr>
          <w:rStyle w:val="CharStyle12"/>
          <w:lang w:val="en-US" w:eastAsia="en-US"/>
        </w:rPr>
        <w:t xml:space="preserve">. </w:t>
      </w:r>
      <w:r>
        <w:rPr>
          <w:rStyle w:val="CharStyle12"/>
        </w:rPr>
        <w:t xml:space="preserve">Программная опция обработки и улучшенной </w:t>
      </w:r>
      <w:r>
        <w:rPr>
          <w:rStyle w:val="CharStyle12"/>
          <w:lang w:val="en-US" w:eastAsia="en-US"/>
        </w:rPr>
        <w:t xml:space="preserve">4D-объемной </w:t>
      </w:r>
      <w:r>
        <w:rPr>
          <w:rStyle w:val="CharStyle12"/>
        </w:rPr>
        <w:t>визуализации тканей и данных цветового допплера;</w:t>
      </w:r>
    </w:p>
    <w:p>
      <w:pPr>
        <w:pStyle w:val="Style11"/>
        <w:keepNext w:val="0"/>
        <w:keepLines w:val="0"/>
        <w:widowControl w:val="0"/>
        <w:numPr>
          <w:ilvl w:val="0"/>
          <w:numId w:val="11"/>
        </w:numPr>
        <w:shd w:val="clear" w:color="auto" w:fill="auto"/>
        <w:tabs>
          <w:tab w:pos="1545" w:val="left"/>
        </w:tabs>
        <w:bidi w:val="0"/>
        <w:spacing w:before="0" w:after="0" w:line="240" w:lineRule="auto"/>
        <w:ind w:left="0" w:right="0" w:firstLine="700"/>
        <w:jc w:val="both"/>
      </w:pPr>
      <w:r>
        <w:rPr>
          <w:rStyle w:val="CharStyle12"/>
        </w:rPr>
        <w:t>.Модуль анализа трикуспидального клапана;</w:t>
      </w:r>
    </w:p>
    <w:p>
      <w:pPr>
        <w:pStyle w:val="Style11"/>
        <w:keepNext w:val="0"/>
        <w:keepLines w:val="0"/>
        <w:widowControl w:val="0"/>
        <w:numPr>
          <w:ilvl w:val="0"/>
          <w:numId w:val="11"/>
        </w:numPr>
        <w:shd w:val="clear" w:color="auto" w:fill="auto"/>
        <w:tabs>
          <w:tab w:pos="1545" w:val="left"/>
        </w:tabs>
        <w:bidi w:val="0"/>
        <w:spacing w:before="0" w:after="0" w:line="240" w:lineRule="auto"/>
        <w:ind w:left="0" w:right="0" w:firstLine="700"/>
        <w:jc w:val="both"/>
      </w:pPr>
      <w:r>
        <w:rPr>
          <w:rStyle w:val="CharStyle12"/>
        </w:rPr>
        <w:t>.Модуль автоматического обсчета кольца аортального клапана.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представитель Заказчика, не согласившись с данным доводом жалобы, пояснил, что требованиям извещения соответствуют товары как минимум двух разных производителей, а именно:</w:t>
      </w:r>
    </w:p>
    <w:p>
      <w:pPr>
        <w:pStyle w:val="Style11"/>
        <w:keepNext w:val="0"/>
        <w:keepLines w:val="0"/>
        <w:widowControl w:val="0"/>
        <w:numPr>
          <w:ilvl w:val="0"/>
          <w:numId w:val="13"/>
        </w:numPr>
        <w:shd w:val="clear" w:color="auto" w:fill="auto"/>
        <w:tabs>
          <w:tab w:pos="816" w:val="left"/>
        </w:tabs>
        <w:bidi w:val="0"/>
        <w:spacing w:before="0" w:after="0" w:line="240" w:lineRule="auto"/>
        <w:ind w:left="0" w:right="0" w:firstLine="700"/>
        <w:jc w:val="both"/>
      </w:pPr>
      <w:r>
        <w:rPr>
          <w:rStyle w:val="CharStyle12"/>
        </w:rPr>
        <w:t xml:space="preserve">.«ДжиИ Вингмед Ультрасаунд АС», </w:t>
      </w:r>
      <w:r>
        <w:rPr>
          <w:rStyle w:val="CharStyle12"/>
          <w:lang w:val="en-US" w:eastAsia="en-US"/>
        </w:rPr>
        <w:t xml:space="preserve">Vivid E95, </w:t>
      </w:r>
      <w:r>
        <w:rPr>
          <w:rStyle w:val="CharStyle12"/>
        </w:rPr>
        <w:t xml:space="preserve">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2016/3871;</w:t>
      </w:r>
    </w:p>
    <w:p>
      <w:pPr>
        <w:pStyle w:val="Style11"/>
        <w:keepNext w:val="0"/>
        <w:keepLines w:val="0"/>
        <w:widowControl w:val="0"/>
        <w:numPr>
          <w:ilvl w:val="0"/>
          <w:numId w:val="13"/>
        </w:numPr>
        <w:shd w:val="clear" w:color="auto" w:fill="auto"/>
        <w:tabs>
          <w:tab w:pos="968" w:val="left"/>
        </w:tabs>
        <w:bidi w:val="0"/>
        <w:spacing w:before="0" w:after="0" w:line="240" w:lineRule="auto"/>
        <w:ind w:left="0" w:right="0" w:firstLine="700"/>
        <w:jc w:val="both"/>
      </w:pPr>
      <w:r>
        <w:rPr>
          <w:rStyle w:val="CharStyle12"/>
        </w:rPr>
        <w:t xml:space="preserve">.«Канон Медикал Системз Корпорейшн», </w:t>
      </w:r>
      <w:r>
        <w:rPr>
          <w:rStyle w:val="CharStyle12"/>
          <w:lang w:val="en-US" w:eastAsia="en-US"/>
        </w:rPr>
        <w:t xml:space="preserve">Aplio i900, </w:t>
      </w:r>
      <w:r>
        <w:rPr>
          <w:rStyle w:val="CharStyle12"/>
        </w:rPr>
        <w:t xml:space="preserve">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2020/11544.</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Более того, помимо указанных производителей, заказчиком установлено, что описанным характеристикам также полностью соответствует продукция «Филипс Ультрасаунд, ЛЛС.», 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2014/2234.</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на заседании Комиссии Управления представитель Заявителя</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пояснил, что аппарат производства «Канон Медикал Системз Корпорейшн», </w:t>
      </w:r>
      <w:r>
        <w:rPr>
          <w:rStyle w:val="CharStyle12"/>
          <w:lang w:val="en-US" w:eastAsia="en-US"/>
        </w:rPr>
        <w:t xml:space="preserve">Aplio i900, </w:t>
      </w:r>
      <w:r>
        <w:rPr>
          <w:rStyle w:val="CharStyle12"/>
        </w:rPr>
        <w:t xml:space="preserve">регистрационное удостоверение </w:t>
      </w:r>
      <w:r>
        <w:rPr>
          <w:rStyle w:val="CharStyle12"/>
          <w:lang w:val="en-US" w:eastAsia="en-US"/>
        </w:rPr>
        <w:t xml:space="preserve">№ </w:t>
      </w:r>
      <w:r>
        <w:rPr>
          <w:rStyle w:val="CharStyle12"/>
        </w:rPr>
        <w:t xml:space="preserve">РЗН </w:t>
      </w:r>
      <w:r>
        <w:rPr>
          <w:rStyle w:val="CharStyle12"/>
          <w:lang w:val="en-US" w:eastAsia="en-US"/>
        </w:rPr>
        <w:t xml:space="preserve">2020/11544 </w:t>
      </w:r>
      <w:r>
        <w:rPr>
          <w:rStyle w:val="CharStyle12"/>
        </w:rPr>
        <w:t xml:space="preserve">не соответствует требованиям извещения, поскольку инструкция к данному изделию не содержит дословно характеристик:«Программная опция обработки и улучшенной </w:t>
      </w:r>
      <w:r>
        <w:rPr>
          <w:rStyle w:val="CharStyle12"/>
          <w:lang w:val="en-US" w:eastAsia="en-US"/>
        </w:rPr>
        <w:t xml:space="preserve">4D-объемной </w:t>
      </w:r>
      <w:r>
        <w:rPr>
          <w:rStyle w:val="CharStyle12"/>
        </w:rPr>
        <w:t>визуализации тканей и данных цветового допплера; Модуль анализа трикуспидального клапана; Модуль автоматического обсчета кольца аортального клапана», позволяющих удостовериться в соответствии данного изделия требованиям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Представитель Заказчика пояснил, что спорные характеристики присутствуют у всех трёх вышеуказанных производителей, более того спорные характеристики у товара производства «Канон Медикал Системз Корпорейшн» указаны на странице </w:t>
      </w:r>
      <w:r>
        <w:rPr>
          <w:rStyle w:val="CharStyle12"/>
          <w:lang w:val="en-US" w:eastAsia="en-US"/>
        </w:rPr>
        <w:t xml:space="preserve">56, 24, 26 </w:t>
      </w:r>
      <w:r>
        <w:rPr>
          <w:rStyle w:val="CharStyle12"/>
        </w:rPr>
        <w:t xml:space="preserve">инструкции регистрационного удостоверения </w:t>
      </w:r>
      <w:r>
        <w:rPr>
          <w:rStyle w:val="CharStyle12"/>
          <w:lang w:val="en-US" w:eastAsia="en-US"/>
        </w:rPr>
        <w:t xml:space="preserve">№ </w:t>
      </w:r>
      <w:r>
        <w:rPr>
          <w:rStyle w:val="CharStyle12"/>
        </w:rPr>
        <w:t xml:space="preserve">РЗН </w:t>
      </w:r>
      <w:r>
        <w:rPr>
          <w:rStyle w:val="CharStyle12"/>
          <w:lang w:val="en-US" w:eastAsia="en-US"/>
        </w:rPr>
        <w:t>2020/11544.</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Более того, в отношении модуля анализа трикуспидального клапана представитель Заказчика дополнительно отметил, что данный параметр входит в стандартные кардиологические пакеты расчётов и является общепринятым для ультразвуковых систем, предназначенных для сердечно-сосудистой визуализации, в связи с чем его отсутствие в инструкции </w:t>
      </w:r>
      <w:r>
        <w:rPr>
          <w:rStyle w:val="CharStyle12"/>
          <w:lang w:val="en-US" w:eastAsia="en-US"/>
        </w:rPr>
        <w:t xml:space="preserve">Canon Aplio i900 </w:t>
      </w:r>
      <w:r>
        <w:rPr>
          <w:rStyle w:val="CharStyle12"/>
        </w:rPr>
        <w:t>не свидетельствует о фактическом отсутствии функции.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Комиссия Управления считает необходимым отметить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ч.1 ст.38 Федерального закона от </w:t>
      </w:r>
      <w:r>
        <w:rPr>
          <w:rStyle w:val="CharStyle12"/>
          <w:lang w:val="en-US" w:eastAsia="en-US"/>
        </w:rPr>
        <w:t xml:space="preserve">21.11.2011 </w:t>
      </w:r>
      <w:r>
        <w:rPr>
          <w:rStyle w:val="CharStyle12"/>
        </w:rPr>
        <w:t xml:space="preserve">г. №323-ФЗ «Об основах охраны здоровья граждан в Российской Федерации» (далее </w:t>
      </w:r>
      <w:r>
        <w:rPr>
          <w:rStyle w:val="CharStyle12"/>
          <w:lang w:val="en-US" w:eastAsia="en-US"/>
        </w:rPr>
        <w:t xml:space="preserve">- </w:t>
      </w:r>
      <w:r>
        <w:rPr>
          <w:rStyle w:val="CharStyle12"/>
        </w:rPr>
        <w:t>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ч.4 ст.38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1"/>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46" w:right="536" w:bottom="1096" w:left="1101" w:header="0" w:footer="3" w:gutter="0"/>
          <w:cols w:space="720"/>
          <w:noEndnote/>
          <w:rtlGutter w:val="0"/>
          <w:docGrid w:linePitch="360"/>
        </w:sectPr>
      </w:pPr>
      <w:r>
        <w:rPr>
          <w:rStyle w:val="CharStyle12"/>
        </w:rPr>
        <w:t xml:space="preserve">П.1 Постановления Правительства РФ от </w:t>
      </w:r>
      <w:r>
        <w:rPr>
          <w:rStyle w:val="CharStyle12"/>
          <w:lang w:val="en-US" w:eastAsia="en-US"/>
        </w:rPr>
        <w:t xml:space="preserve">30.11.2024 №1684 </w:t>
      </w:r>
      <w:r>
        <w:rPr>
          <w:rStyle w:val="CharStyle12"/>
        </w:rPr>
        <w:t xml:space="preserve">«Об утверждении Правил государственной регистрации медицинских изделий»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№1684) </w:t>
      </w:r>
      <w:r>
        <w:rPr>
          <w:rStyle w:val="CharStyle12"/>
        </w:rPr>
        <w:t>утверждены Правила государственной регистрации</w:t>
      </w:r>
    </w:p>
    <w:p>
      <w:pPr>
        <w:pStyle w:val="Style11"/>
        <w:keepNext w:val="0"/>
        <w:keepLines w:val="0"/>
        <w:widowControl w:val="0"/>
        <w:shd w:val="clear" w:color="auto" w:fill="auto"/>
        <w:bidi w:val="0"/>
        <w:spacing w:before="0" w:after="0" w:line="254" w:lineRule="auto"/>
        <w:ind w:left="0" w:right="0" w:firstLine="0"/>
        <w:jc w:val="both"/>
      </w:pPr>
      <w:r>
        <w:rPr>
          <w:rStyle w:val="CharStyle12"/>
        </w:rPr>
        <w:t xml:space="preserve">медицинских изделий (далее </w:t>
      </w:r>
      <w:r>
        <w:rPr>
          <w:rStyle w:val="CharStyle12"/>
          <w:lang w:val="en-US" w:eastAsia="en-US"/>
        </w:rPr>
        <w:t xml:space="preserve">— </w:t>
      </w:r>
      <w:r>
        <w:rPr>
          <w:rStyle w:val="CharStyle12"/>
        </w:rPr>
        <w:t>Правила).</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Вместе с этим п.2 Постановления </w:t>
      </w:r>
      <w:r>
        <w:rPr>
          <w:rStyle w:val="CharStyle12"/>
          <w:lang w:val="en-US" w:eastAsia="en-US"/>
        </w:rPr>
        <w:t xml:space="preserve">№1684 </w:t>
      </w:r>
      <w:r>
        <w:rPr>
          <w:rStyle w:val="CharStyle12"/>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2"/>
          <w:lang w:val="en-US" w:eastAsia="en-US"/>
        </w:rPr>
        <w:t>№1684.</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2"/>
          <w:lang w:val="en-US" w:eastAsia="en-US"/>
        </w:rPr>
        <w:t xml:space="preserve">№1684, </w:t>
      </w:r>
      <w:r>
        <w:rPr>
          <w:rStyle w:val="CharStyle12"/>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Постановлением Правительства Российской Федерации от </w:t>
      </w:r>
      <w:r>
        <w:rPr>
          <w:rStyle w:val="CharStyle12"/>
          <w:lang w:val="en-US" w:eastAsia="en-US"/>
        </w:rPr>
        <w:t xml:space="preserve">27.12.2012 № 1416 </w:t>
      </w:r>
      <w:r>
        <w:rPr>
          <w:rStyle w:val="CharStyle12"/>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2"/>
          <w:lang w:val="en-US" w:eastAsia="en-US"/>
        </w:rPr>
        <w:t xml:space="preserve">— </w:t>
      </w:r>
      <w:r>
        <w:rPr>
          <w:rStyle w:val="CharStyle12"/>
        </w:rPr>
        <w:t xml:space="preserve">Правила от </w:t>
      </w:r>
      <w:r>
        <w:rPr>
          <w:rStyle w:val="CharStyle12"/>
          <w:lang w:val="en-US" w:eastAsia="en-US"/>
        </w:rPr>
        <w:t xml:space="preserve">27.12.2012), </w:t>
      </w:r>
      <w:r>
        <w:rPr>
          <w:rStyle w:val="CharStyle12"/>
        </w:rPr>
        <w:t xml:space="preserve">действующие до дня вступления в силу Постановления </w:t>
      </w:r>
      <w:r>
        <w:rPr>
          <w:rStyle w:val="CharStyle12"/>
          <w:lang w:val="en-US" w:eastAsia="en-US"/>
        </w:rPr>
        <w:t>№1684.</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П.6 Правил от </w:t>
      </w:r>
      <w:r>
        <w:rPr>
          <w:rStyle w:val="CharStyle12"/>
          <w:lang w:val="en-US" w:eastAsia="en-US"/>
        </w:rPr>
        <w:t xml:space="preserve">27.12.2012 </w:t>
      </w:r>
      <w:r>
        <w:rPr>
          <w:rStyle w:val="CharStyle12"/>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2"/>
          <w:lang w:val="en-US" w:eastAsia="en-US"/>
        </w:rPr>
        <w:t xml:space="preserve">№1684, </w:t>
      </w:r>
      <w:r>
        <w:rPr>
          <w:rStyle w:val="CharStyle12"/>
        </w:rPr>
        <w:t xml:space="preserve">в соответствии с Правилами от </w:t>
      </w:r>
      <w:r>
        <w:rPr>
          <w:rStyle w:val="CharStyle12"/>
          <w:lang w:val="en-US" w:eastAsia="en-US"/>
        </w:rPr>
        <w:t>27.12.2012.</w:t>
      </w:r>
    </w:p>
    <w:p>
      <w:pPr>
        <w:pStyle w:val="Style11"/>
        <w:keepNext w:val="0"/>
        <w:keepLines w:val="0"/>
        <w:widowControl w:val="0"/>
        <w:shd w:val="clear" w:color="auto" w:fill="auto"/>
        <w:bidi w:val="0"/>
        <w:spacing w:before="0" w:after="0" w:line="257"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50" w:bottom="696" w:left="1101" w:header="0" w:footer="268" w:gutter="0"/>
          <w:cols w:space="720"/>
          <w:noEndnote/>
          <w:rtlGutter w:val="0"/>
          <w:docGrid w:linePitch="360"/>
        </w:sectPr>
      </w:pPr>
      <w:r>
        <w:rPr>
          <w:rStyle w:val="CharStyle12"/>
        </w:rPr>
        <w:t xml:space="preserve">Помимо этого Комиссия Управления дополнительно отмечает, что в Реестре медицинских изделий подлежит размещению лишь эксплуатационная документация производителя (изготовителя) на медицинское изделие,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 ввиду чего отсутствие сведений о характеристике изделия в эксплуатационной документации не может однозначным образом свидетельствовать о том, что </w:t>
      </w:r>
      <w:r>
        <w:rPr>
          <w:rStyle w:val="CharStyle12"/>
          <w:sz w:val="24"/>
          <w:szCs w:val="24"/>
          <w:lang w:val="en-US" w:eastAsia="en-US"/>
        </w:rPr>
        <w:t>2026-25346</w:t>
      </w:r>
    </w:p>
    <w:p>
      <w:pPr>
        <w:pStyle w:val="Style11"/>
        <w:keepNext w:val="0"/>
        <w:keepLines w:val="0"/>
        <w:widowControl w:val="0"/>
        <w:shd w:val="clear" w:color="auto" w:fill="auto"/>
        <w:bidi w:val="0"/>
        <w:spacing w:before="0" w:after="0" w:line="240" w:lineRule="auto"/>
        <w:ind w:left="0" w:right="0" w:firstLine="0"/>
        <w:jc w:val="both"/>
      </w:pPr>
      <w:r>
        <w:rPr>
          <w:rStyle w:val="CharStyle12"/>
        </w:rPr>
        <w:t>изделие не обладает такой характеристикой.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отмечает, что на заседании Комиссии Управления не представлено каких-либо документальных доказательств, подтверждающих отсутствие у товара производства «Канон Медикал Системз Корпорейшн», регистрационного удостоверения </w:t>
      </w:r>
      <w:r>
        <w:rPr>
          <w:rStyle w:val="CharStyle12"/>
          <w:lang w:val="en-US" w:eastAsia="en-US"/>
        </w:rPr>
        <w:t xml:space="preserve">№ </w:t>
      </w:r>
      <w:r>
        <w:rPr>
          <w:rStyle w:val="CharStyle12"/>
        </w:rPr>
        <w:t xml:space="preserve">РЗН </w:t>
      </w:r>
      <w:r>
        <w:rPr>
          <w:rStyle w:val="CharStyle12"/>
          <w:lang w:val="en-US" w:eastAsia="en-US"/>
        </w:rPr>
        <w:t xml:space="preserve">2020/11544 </w:t>
      </w:r>
      <w:r>
        <w:rPr>
          <w:rStyle w:val="CharStyle12"/>
        </w:rPr>
        <w:t>обжалуемых характеристик.</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с учетом пояснений представителя Заказчика, имеющихся документов и сведений, в том числе подтверждающих наличие на рынке зарегистрированных медицинских изделий, соответствующих потребности Заказчика, Комиссия Управления отмечает, что Заказчиком правомерно установлены требования к закупаемому медицинскому изделию.</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Кроме того, Заявителем не представлено доказательств того обстоятельства, что содержащиеся в техническом задании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и именно в той комплектации, которая указана в техническом задании.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11"/>
        <w:keepNext w:val="0"/>
        <w:keepLines w:val="0"/>
        <w:widowControl w:val="0"/>
        <w:shd w:val="clear" w:color="auto" w:fill="auto"/>
        <w:bidi w:val="0"/>
        <w:spacing w:before="0" w:after="0" w:line="240" w:lineRule="auto"/>
        <w:ind w:left="0" w:right="0" w:firstLine="580"/>
        <w:jc w:val="both"/>
      </w:pPr>
      <w:r>
        <w:rPr>
          <w:rStyle w:val="CharStyle12"/>
        </w:rPr>
        <w:t>На основании вышеизложенного, с учетом представленных документов и сведений, возражений Заказчика, Комиссия Управления приходит к выводу о необоснованности данного довода жалобы Заявителя</w:t>
      </w:r>
    </w:p>
    <w:p>
      <w:pPr>
        <w:pStyle w:val="Style11"/>
        <w:keepNext w:val="0"/>
        <w:keepLines w:val="0"/>
        <w:widowControl w:val="0"/>
        <w:shd w:val="clear" w:color="auto" w:fill="auto"/>
        <w:bidi w:val="0"/>
        <w:spacing w:before="0" w:after="0" w:line="262" w:lineRule="auto"/>
        <w:ind w:left="0" w:right="0" w:firstLine="700"/>
        <w:jc w:val="both"/>
        <w:sectPr>
          <w:headerReference w:type="default" r:id="rId19"/>
          <w:footerReference w:type="default" r:id="rId20"/>
          <w:footnotePr>
            <w:pos w:val="pageBottom"/>
            <w:numFmt w:val="decimal"/>
            <w:numRestart w:val="continuous"/>
          </w:footnotePr>
          <w:pgSz w:w="11900" w:h="16840"/>
          <w:pgMar w:top="1162" w:right="555" w:bottom="1162" w:left="1106"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line="252" w:lineRule="auto"/>
        <w:ind w:left="0" w:right="0" w:firstLine="0"/>
        <w:jc w:val="center"/>
      </w:pPr>
      <w:r>
        <w:rPr>
          <w:rStyle w:val="CharStyle12"/>
          <w:b/>
          <w:bCs/>
        </w:rPr>
        <w:t>РЕШИЛА:</w:t>
      </w:r>
    </w:p>
    <w:p>
      <w:pPr>
        <w:pStyle w:val="Style11"/>
        <w:keepNext w:val="0"/>
        <w:keepLines w:val="0"/>
        <w:widowControl w:val="0"/>
        <w:numPr>
          <w:ilvl w:val="0"/>
          <w:numId w:val="15"/>
        </w:numPr>
        <w:shd w:val="clear" w:color="auto" w:fill="auto"/>
        <w:tabs>
          <w:tab w:pos="1411" w:val="left"/>
        </w:tabs>
        <w:bidi w:val="0"/>
        <w:spacing w:before="0" w:after="0" w:line="252" w:lineRule="auto"/>
        <w:ind w:left="0" w:right="0" w:firstLine="700"/>
        <w:jc w:val="both"/>
      </w:pPr>
      <w:r>
        <w:rPr>
          <w:rStyle w:val="CharStyle12"/>
        </w:rPr>
        <w:t>Признать жалобу ООО «МЕДЛАЙН ЭКСПЕРТ» на действия МГУ обоснованной в части неприменения позиции КТРУ.</w:t>
      </w:r>
    </w:p>
    <w:p>
      <w:pPr>
        <w:pStyle w:val="Style11"/>
        <w:keepNext w:val="0"/>
        <w:keepLines w:val="0"/>
        <w:widowControl w:val="0"/>
        <w:numPr>
          <w:ilvl w:val="0"/>
          <w:numId w:val="17"/>
        </w:numPr>
        <w:shd w:val="clear" w:color="auto" w:fill="auto"/>
        <w:tabs>
          <w:tab w:pos="1411" w:val="left"/>
        </w:tabs>
        <w:bidi w:val="0"/>
        <w:spacing w:before="0" w:after="0" w:line="252" w:lineRule="auto"/>
        <w:ind w:left="0" w:right="0" w:firstLine="700"/>
        <w:jc w:val="both"/>
      </w:pPr>
      <w:r>
        <w:rPr>
          <w:rStyle w:val="CharStyle12"/>
        </w:rPr>
        <w:t>Признать в действиях Заказчика нарушение ч.6 ст.23 Закона о контрактной системе.</w:t>
      </w:r>
    </w:p>
    <w:p>
      <w:pPr>
        <w:pStyle w:val="Style11"/>
        <w:keepNext w:val="0"/>
        <w:keepLines w:val="0"/>
        <w:widowControl w:val="0"/>
        <w:numPr>
          <w:ilvl w:val="0"/>
          <w:numId w:val="17"/>
        </w:numPr>
        <w:shd w:val="clear" w:color="auto" w:fill="auto"/>
        <w:tabs>
          <w:tab w:pos="1411" w:val="left"/>
        </w:tabs>
        <w:bidi w:val="0"/>
        <w:spacing w:before="0" w:after="0" w:line="252" w:lineRule="auto"/>
        <w:ind w:left="0" w:right="0" w:firstLine="700"/>
        <w:jc w:val="both"/>
      </w:pPr>
      <w:r>
        <w:rPr>
          <w:rStyle w:val="CharStyle12"/>
        </w:rPr>
        <w:t>Выдать Заказчику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17"/>
        </w:numPr>
        <w:shd w:val="clear" w:color="auto" w:fill="auto"/>
        <w:tabs>
          <w:tab w:pos="1411" w:val="left"/>
        </w:tabs>
        <w:bidi w:val="0"/>
        <w:spacing w:before="0" w:after="240" w:line="252" w:lineRule="auto"/>
        <w:ind w:left="0" w:right="0" w:firstLine="70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62"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2" w:bottom="1288" w:left="1106" w:header="0" w:footer="3" w:gutter="0"/>
          <w:cols w:space="720"/>
          <w:noEndnote/>
          <w:rtlGutter w:val="0"/>
          <w:docGrid w:linePitch="360"/>
        </w:sectPr>
      </w:pPr>
      <w:r>
        <mc:AlternateContent>
          <mc:Choice Requires="wps">
            <w:drawing>
              <wp:anchor distT="139700" distB="216535" distL="0" distR="0" simplePos="0" relativeHeight="125829379" behindDoc="0" locked="0" layoutInCell="1" allowOverlap="1">
                <wp:simplePos x="0" y="0"/>
                <wp:positionH relativeFrom="page">
                  <wp:posOffset>739140</wp:posOffset>
                </wp:positionH>
                <wp:positionV relativeFrom="paragraph">
                  <wp:posOffset>139700</wp:posOffset>
                </wp:positionV>
                <wp:extent cx="1844040" cy="252730"/>
                <wp:wrapTopAndBottom/>
                <wp:docPr id="22" name="Shape 22"/>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8" type="#_x0000_t202" style="position:absolute;margin-left:58.200000000000003pt;margin-top:11.pt;width:145.20000000000002pt;height:19.900000000000002pt;z-index:-125829374;mso-wrap-distance-left:0;mso-wrap-distance-top:11.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212725" distB="0" distL="0" distR="1786255" simplePos="0" relativeHeight="125829381" behindDoc="0" locked="0" layoutInCell="1" allowOverlap="1">
            <wp:simplePos x="0" y="0"/>
            <wp:positionH relativeFrom="page">
              <wp:posOffset>3107690</wp:posOffset>
            </wp:positionH>
            <wp:positionV relativeFrom="paragraph">
              <wp:posOffset>212725</wp:posOffset>
            </wp:positionV>
            <wp:extent cx="359410" cy="396240"/>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300990</wp:posOffset>
                </wp:positionV>
                <wp:extent cx="1722120" cy="259080"/>
                <wp:wrapNone/>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80000000000001pt;margin-top:23.69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16535" distL="0" distR="0" simplePos="0" relativeHeight="125829382" behindDoc="0" locked="0" layoutInCell="1" allowOverlap="1">
                <wp:simplePos x="0" y="0"/>
                <wp:positionH relativeFrom="page">
                  <wp:posOffset>5914390</wp:posOffset>
                </wp:positionH>
                <wp:positionV relativeFrom="paragraph">
                  <wp:posOffset>139700</wp:posOffset>
                </wp:positionV>
                <wp:extent cx="1304290" cy="252730"/>
                <wp:wrapTopAndBottom/>
                <wp:docPr id="28" name="Shape 28"/>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Е.Д. Мартьянова</w:t>
                            </w:r>
                          </w:p>
                        </w:txbxContent>
                      </wps:txbx>
                      <wps:bodyPr wrap="none" lIns="0" tIns="0" rIns="0" bIns="0">
                        <a:noAutoFit/>
                      </wps:bodyPr>
                    </wps:wsp>
                  </a:graphicData>
                </a:graphic>
              </wp:anchor>
            </w:drawing>
          </mc:Choice>
          <mc:Fallback>
            <w:pict>
              <v:shape id="_x0000_s1054" type="#_x0000_t202" style="position:absolute;margin-left:465.69999999999999pt;margin-top:11.pt;width:102.7pt;height:19.900000000000002pt;z-index:-125829371;mso-wrap-distance-left:0;mso-wrap-distance-top:11.pt;mso-wrap-distance-right:0;mso-wrap-distance-bottom:17.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Е.Д. Мартьянова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w:t>
      </w:r>
      <w:r>
        <w:rPr>
          <w:rStyle w:val="CharStyle20"/>
          <w:color w:val="565656"/>
        </w:rPr>
        <w:t xml:space="preserve">выдан: </w:t>
      </w:r>
      <w:r>
        <w:rPr>
          <w:rStyle w:val="CharStyle20"/>
          <w:color w:val="000000"/>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00EA3D636CED58A70F15417FA130B2F6C</w:t>
      </w:r>
      <w:r>
        <w:rPr>
          <w:rStyle w:val="CharStyle20"/>
          <w:lang w:val="en-US" w:eastAsia="en-US"/>
        </w:rPr>
        <w:t>B</w:t>
      </w:r>
    </w:p>
    <w:p>
      <w:pPr>
        <w:pStyle w:val="Style19"/>
        <w:keepNext w:val="0"/>
        <w:keepLines w:val="0"/>
        <w:widowControl w:val="0"/>
        <w:shd w:val="clear" w:color="auto" w:fill="auto"/>
        <w:bidi w:val="0"/>
        <w:spacing w:before="0" w:after="240" w:line="240" w:lineRule="auto"/>
        <w:ind w:right="0" w:firstLine="0"/>
        <w:jc w:val="left"/>
      </w:pPr>
      <w:r>
        <w:rPr>
          <w:rStyle w:val="CharStyle20"/>
        </w:rPr>
        <w:t xml:space="preserve">Действителен с </w:t>
      </w:r>
      <w:r>
        <w:rPr>
          <w:rStyle w:val="CharStyle20"/>
          <w:color w:val="565656"/>
        </w:rPr>
        <w:t>20.04.2026 по 14.07.2027</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70" w:line="240" w:lineRule="auto"/>
        <w:ind w:left="1280" w:right="0" w:firstLine="0"/>
        <w:jc w:val="left"/>
      </w:pPr>
      <w:r>
        <w:drawing>
          <wp:anchor distT="0" distB="0" distL="114300" distR="1931035" simplePos="0" relativeHeight="125829384" behindDoc="0" locked="0" layoutInCell="1" allowOverlap="1">
            <wp:simplePos x="0" y="0"/>
            <wp:positionH relativeFrom="page">
              <wp:posOffset>3137535</wp:posOffset>
            </wp:positionH>
            <wp:positionV relativeFrom="paragraph">
              <wp:posOffset>88900</wp:posOffset>
            </wp:positionV>
            <wp:extent cx="298450" cy="347345"/>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149860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7.75pt;margin-top:11.8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Леонова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Леонова Алена Альбертовна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276EF4D805B62E966E204BCBEB72461C</w:t>
      </w:r>
    </w:p>
    <w:p>
      <w:pPr>
        <w:pStyle w:val="Style19"/>
        <w:keepNext w:val="0"/>
        <w:keepLines w:val="0"/>
        <w:widowControl w:val="0"/>
        <w:shd w:val="clear" w:color="auto" w:fill="auto"/>
        <w:bidi w:val="0"/>
        <w:spacing w:before="0" w:after="340" w:line="240" w:lineRule="auto"/>
        <w:ind w:right="0" w:firstLine="0"/>
        <w:jc w:val="left"/>
      </w:pPr>
      <w:r>
        <w:rPr>
          <w:rStyle w:val="CharStyle20"/>
        </w:rPr>
        <w:t xml:space="preserve">Действителен с 05.12.2025 </w:t>
      </w:r>
      <w:r>
        <w:rPr>
          <w:rStyle w:val="CharStyle20"/>
          <w:color w:val="565656"/>
        </w:rPr>
        <w:t xml:space="preserve">по </w:t>
      </w:r>
      <w:r>
        <w:rPr>
          <w:rStyle w:val="CharStyle20"/>
        </w:rPr>
        <w:t>28.02.2027</w:t>
      </w:r>
    </w:p>
    <w:p>
      <w:pPr>
        <w:pStyle w:val="Style11"/>
        <w:keepNext w:val="0"/>
        <w:keepLines w:val="0"/>
        <w:widowControl w:val="0"/>
        <w:shd w:val="clear" w:color="auto" w:fill="auto"/>
        <w:bidi w:val="0"/>
        <w:spacing w:before="0" w:after="370" w:line="240" w:lineRule="auto"/>
        <w:ind w:left="0" w:right="0" w:firstLine="840"/>
        <w:jc w:val="lef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63500</wp:posOffset>
            </wp:positionV>
            <wp:extent cx="359410" cy="39624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151765</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75pt;margin-top:11.95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Е.С. Переверзева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ПЕРЕВЕРЗЕВА ЕЛИЗАВЕТА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00FFF3ACD3A01A73F4C680C3941</w:t>
      </w:r>
      <w:r>
        <w:rPr>
          <w:rStyle w:val="CharStyle20"/>
        </w:rPr>
        <w:t>ЕЗСА026</w:t>
      </w:r>
    </w:p>
    <w:p>
      <w:pPr>
        <w:pStyle w:val="Style19"/>
        <w:keepNext w:val="0"/>
        <w:keepLines w:val="0"/>
        <w:widowControl w:val="0"/>
        <w:shd w:val="clear" w:color="auto" w:fill="auto"/>
        <w:bidi w:val="0"/>
        <w:spacing w:before="0" w:after="3000" w:line="266" w:lineRule="auto"/>
        <w:ind w:right="0" w:firstLine="0"/>
        <w:jc w:val="left"/>
      </w:pPr>
      <w:r>
        <w:rPr>
          <w:rStyle w:val="CharStyle20"/>
        </w:rPr>
        <w:t xml:space="preserve">Действителен с 11.12.2025 </w:t>
      </w:r>
      <w:r>
        <w:rPr>
          <w:rStyle w:val="CharStyle20"/>
          <w:color w:val="565656"/>
        </w:rPr>
        <w:t xml:space="preserve">по </w:t>
      </w:r>
      <w:r>
        <w:rPr>
          <w:rStyle w:val="CharStyle20"/>
        </w:rPr>
        <w:t>06.03.2027</w:t>
      </w:r>
    </w:p>
    <w:p>
      <w:pPr>
        <w:pStyle w:val="Style24"/>
        <w:keepNext w:val="0"/>
        <w:keepLines w:val="0"/>
        <w:widowControl w:val="0"/>
        <w:shd w:val="clear" w:color="auto" w:fill="auto"/>
        <w:bidi w:val="0"/>
        <w:spacing w:before="0" w:line="240" w:lineRule="auto"/>
        <w:ind w:left="0" w:right="0" w:firstLine="0"/>
        <w:jc w:val="left"/>
      </w:pPr>
      <w:r>
        <w:rPr>
          <w:rStyle w:val="CharStyle25"/>
        </w:rPr>
        <w:t>Исп.Переверзева Е.С. тел.(495)784-75-05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10097770</wp:posOffset>
              </wp:positionV>
              <wp:extent cx="725170" cy="103505"/>
              <wp:wrapNone/>
              <wp:docPr id="4" name="Shape 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wps:txbx>
                    <wps:bodyPr wrap="none" lIns="0" tIns="0" rIns="0" bIns="0">
                      <a:spAutoFit/>
                    </wps:bodyPr>
                  </wps:wsp>
                </a:graphicData>
              </a:graphic>
            </wp:anchor>
          </w:drawing>
        </mc:Choice>
        <mc:Fallback>
          <w:pict>
            <v:shape id="_x0000_s1030" type="#_x0000_t202" style="position:absolute;margin-left:57.200000000000003pt;margin-top:795.10000000000002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10247630</wp:posOffset>
              </wp:positionV>
              <wp:extent cx="728345" cy="73025"/>
              <wp:wrapNone/>
              <wp:docPr id="6" name="Shape 6"/>
              <a:graphic xmlns:a="http://schemas.openxmlformats.org/drawingml/2006/main">
                <a:graphicData uri="http://schemas.microsoft.com/office/word/2010/wordprocessingShape">
                  <wps:wsp>
                    <wps:cNvSpPr txBox="1"/>
                    <wps:spPr>
                      <a:xfrm>
                        <a:ext cx="72834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2026-25346</w:t>
                          </w:r>
                        </w:p>
                      </w:txbxContent>
                    </wps:txbx>
                    <wps:bodyPr wrap="none" lIns="0" tIns="0" rIns="0" bIns="0">
                      <a:spAutoFit/>
                    </wps:bodyPr>
                  </wps:wsp>
                </a:graphicData>
              </a:graphic>
            </wp:anchor>
          </w:drawing>
        </mc:Choice>
        <mc:Fallback>
          <w:pict>
            <v:shape id="_x0000_s1032" type="#_x0000_t202" style="position:absolute;margin-left:57.pt;margin-top:806.89999999999998pt;width:57.350000000000001pt;height:5.7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2026-25346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10097770</wp:posOffset>
              </wp:positionV>
              <wp:extent cx="725170" cy="103505"/>
              <wp:wrapNone/>
              <wp:docPr id="14" name="Shape 1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wps:txbx>
                    <wps:bodyPr wrap="none" lIns="0" tIns="0" rIns="0" bIns="0">
                      <a:spAutoFit/>
                    </wps:bodyPr>
                  </wps:wsp>
                </a:graphicData>
              </a:graphic>
            </wp:anchor>
          </w:drawing>
        </mc:Choice>
        <mc:Fallback>
          <w:pict>
            <v:shape id="_x0000_s1040" type="#_x0000_t202" style="position:absolute;margin-left:57.200000000000003pt;margin-top:795.10000000000002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10097770</wp:posOffset>
              </wp:positionV>
              <wp:extent cx="725170" cy="103505"/>
              <wp:wrapNone/>
              <wp:docPr id="20" name="Shape 20"/>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wps:txbx>
                    <wps:bodyPr wrap="none" lIns="0" tIns="0" rIns="0" bIns="0">
                      <a:spAutoFit/>
                    </wps:bodyPr>
                  </wps:wsp>
                </a:graphicData>
              </a:graphic>
            </wp:anchor>
          </w:drawing>
        </mc:Choice>
        <mc:Fallback>
          <w:pict>
            <v:shape id="_x0000_s1046" type="#_x0000_t202" style="position:absolute;margin-left:57.200000000000003pt;margin-top:795.10000000000002pt;width:57.10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2026-25346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3890645</wp:posOffset>
              </wp:positionH>
              <wp:positionV relativeFrom="page">
                <wp:posOffset>443230</wp:posOffset>
              </wp:positionV>
              <wp:extent cx="133985" cy="69850"/>
              <wp:wrapNone/>
              <wp:docPr id="2" name="Shape 2"/>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35000000000002pt;margin-top:34.899999999999999pt;width:10.550000000000001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509270</wp:posOffset>
              </wp:positionV>
              <wp:extent cx="64135" cy="69850"/>
              <wp:wrapNone/>
              <wp:docPr id="10" name="Shape 10"/>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9.pt;margin-top:40.100000000000001pt;width:5.0499999999999998pt;height:5.5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3890645</wp:posOffset>
              </wp:positionH>
              <wp:positionV relativeFrom="page">
                <wp:posOffset>443230</wp:posOffset>
              </wp:positionV>
              <wp:extent cx="133985" cy="69850"/>
              <wp:wrapNone/>
              <wp:docPr id="12" name="Shape 12"/>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6.35000000000002pt;margin-top:34.899999999999999pt;width:10.550000000000001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509270</wp:posOffset>
              </wp:positionV>
              <wp:extent cx="64135" cy="69850"/>
              <wp:wrapNone/>
              <wp:docPr id="16" name="Shape 16"/>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9.pt;margin-top:40.100000000000001pt;width:5.0499999999999998pt;height:5.5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3890645</wp:posOffset>
              </wp:positionH>
              <wp:positionV relativeFrom="page">
                <wp:posOffset>443230</wp:posOffset>
              </wp:positionV>
              <wp:extent cx="133985" cy="69850"/>
              <wp:wrapNone/>
              <wp:docPr id="18" name="Shape 18"/>
              <a:graphic xmlns:a="http://schemas.openxmlformats.org/drawingml/2006/main">
                <a:graphicData uri="http://schemas.microsoft.com/office/word/2010/wordprocessingShape">
                  <wps:wsp>
                    <wps:cNvSpPr txBox="1"/>
                    <wps:spPr>
                      <a:xfrm>
                        <a:ext cx="1339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4" type="#_x0000_t202" style="position:absolute;margin-left:306.35000000000002pt;margin-top:34.899999999999999pt;width:10.550000000000001pt;height:5.5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14141"/>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