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21.05.2026</w:t>
      </w:r>
      <w:r>
        <w:fldChar w:fldCharType="end"/>
      </w:r>
      <w:r>
        <w:rPr>
          <w:rStyle w:val="CharStyle10"/>
        </w:rPr>
        <w:tab/>
        <w:t>№ 21609/26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«ДОМИНАНТ» </w:t>
      </w:r>
      <w:r>
        <w:fldChar w:fldCharType="begin"/>
      </w:r>
      <w:r>
        <w:rPr/>
        <w:instrText> HYPERLINK "mailto:dominant.press@mail.ru" </w:instrText>
      </w:r>
      <w:r>
        <w:fldChar w:fldCharType="separate"/>
      </w:r>
      <w:r>
        <w:rPr>
          <w:rStyle w:val="CharStyle12"/>
          <w:lang w:val="en-US" w:eastAsia="en-US"/>
        </w:rPr>
        <w:t>dominant.press@mail.ru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«Музей музыки» </w:t>
      </w:r>
      <w:r>
        <w:fldChar w:fldCharType="begin"/>
      </w:r>
      <w:r>
        <w:rPr/>
        <w:instrText> HYPERLINK "mailto:abramov@music-museum.ru" </w:instrText>
      </w:r>
      <w:r>
        <w:fldChar w:fldCharType="separate"/>
      </w:r>
      <w:r>
        <w:rPr>
          <w:rStyle w:val="CharStyle12"/>
          <w:lang w:val="en-US" w:eastAsia="en-US"/>
        </w:rPr>
        <w:t>abramov@music-museum.ru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193" w:bottom="708" w:left="1265" w:header="0" w:footer="3" w:gutter="0"/>
          <w:pgNumType w:start="1"/>
          <w:cols w:num="2" w:space="720" w:equalWidth="0">
            <w:col w:w="3835" w:space="1306"/>
            <w:col w:w="3302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РТС-тендер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0" w:bottom="8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2560"/>
        <w:jc w:val="both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077/06/105-6278/2026 </w:t>
      </w:r>
      <w:r>
        <w:rPr>
          <w:rStyle w:val="CharStyle12"/>
          <w:b/>
          <w:bCs/>
        </w:rPr>
        <w:t xml:space="preserve">о нарушении законодательства о контрактной системе </w:t>
      </w:r>
      <w:r>
        <w:rPr>
          <w:rStyle w:val="CharStyle12"/>
          <w:b/>
          <w:bCs/>
          <w:lang w:val="en-US" w:eastAsia="en-US"/>
        </w:rPr>
        <w:t>18.05.2026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«Музей музыки»: В.В. Абрамова (по дов. от </w:t>
      </w:r>
      <w:r>
        <w:rPr>
          <w:rStyle w:val="CharStyle12"/>
          <w:lang w:val="en-US" w:eastAsia="en-US"/>
        </w:rPr>
        <w:t>14.05.2026 №28),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«ДОМИНАНТ»,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«ДОМИНАНТ»(далее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«Музей музыки» при проведении запроса котировок в электронной форме на право заключения государственного контракта на поставку картриджей (Закупка </w:t>
      </w:r>
      <w:r>
        <w:rPr>
          <w:rStyle w:val="CharStyle12"/>
          <w:lang w:val="en-US" w:eastAsia="en-US"/>
        </w:rPr>
        <w:t>№</w:t>
        <w:tab/>
        <w:t xml:space="preserve">0373100114226000014)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запрос котировок), в соответствии 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90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190500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составе в жалобы Заявитель указывает, что Заказчиком при проведении запроса котировок в электронной форме </w:t>
      </w:r>
      <w:r>
        <w:rPr>
          <w:rStyle w:val="CharStyle12"/>
          <w:lang w:val="en-US" w:eastAsia="en-US"/>
        </w:rPr>
        <w:t xml:space="preserve">№ 0373100114226000014 </w:t>
      </w:r>
      <w:r>
        <w:rPr>
          <w:rStyle w:val="CharStyle12"/>
        </w:rPr>
        <w:t xml:space="preserve">на поставку картриджей нарушены требования законодательства о контрактной системе, а именно не исполнено надлежащим образом законное предписание УФАС по г. Москве от </w:t>
      </w: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077/06/105-5362/2026, </w:t>
      </w:r>
      <w:r>
        <w:rPr>
          <w:rStyle w:val="CharStyle12"/>
        </w:rPr>
        <w:t>что образует состав административного правонарушения.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п.2 ч.22 ст.99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определено, что ранее Московским УФАС России рассматривалась жалоба ООО «Велес» (реестровый номер </w:t>
      </w:r>
      <w:r>
        <w:rPr>
          <w:rStyle w:val="CharStyle12"/>
          <w:lang w:val="en-US" w:eastAsia="en-US"/>
        </w:rPr>
        <w:t xml:space="preserve">202600132489007318), </w:t>
      </w:r>
      <w:r>
        <w:rPr>
          <w:rStyle w:val="CharStyle12"/>
        </w:rPr>
        <w:t xml:space="preserve">содержащая указания на нарушение положений Закона о контрактной системе Заказчиком при неправомерном формировании извещения в рамках дела </w:t>
      </w:r>
      <w:r>
        <w:rPr>
          <w:rStyle w:val="CharStyle12"/>
          <w:lang w:val="en-US" w:eastAsia="en-US"/>
        </w:rPr>
        <w:t xml:space="preserve">№ 077/06/105-5362/2026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29.04.2026, </w:t>
      </w:r>
      <w:r>
        <w:rPr>
          <w:rStyle w:val="CharStyle12"/>
        </w:rPr>
        <w:t xml:space="preserve">по результатам рассмотрения которой данная жалоба признана обоснованной. Заказчику выдано обязательное для исполнения предписание об устранении нарушения законодательства о контрактной системе по делу от </w:t>
      </w:r>
      <w:r>
        <w:rPr>
          <w:rStyle w:val="CharStyle12"/>
          <w:lang w:val="en-US" w:eastAsia="en-US"/>
        </w:rPr>
        <w:t xml:space="preserve">29.04.2026 № 077/06/105-5362/2026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предписание).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Так, в рамках дела </w:t>
      </w:r>
      <w:r>
        <w:rPr>
          <w:rStyle w:val="CharStyle12"/>
          <w:lang w:val="en-US" w:eastAsia="en-US"/>
        </w:rPr>
        <w:t xml:space="preserve">№ 077/06/105-5362/2026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29.04.2026, </w:t>
      </w:r>
      <w:r>
        <w:rPr>
          <w:rStyle w:val="CharStyle12"/>
        </w:rPr>
        <w:t>Комиссией Управления установлено в том числе нижеследующее: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>«…</w:t>
      </w:r>
      <w:r>
        <w:rPr>
          <w:rStyle w:val="CharStyle12"/>
          <w:i/>
          <w:iCs/>
          <w:lang w:val="en-US" w:eastAsia="en-US"/>
        </w:rPr>
        <w:t xml:space="preserve">В </w:t>
      </w:r>
      <w:r>
        <w:rPr>
          <w:rStyle w:val="CharStyle12"/>
          <w:i/>
          <w:iCs/>
        </w:rPr>
        <w:t>свою очередь, Комиссией Управления установлено, что Заказчиком приобретаются картриджи, а именно «Картридж для электрографических печатающих устройств».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При принятии решения Комиссия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Вместе с тем Комиссия Управления отмечает, что в классификаторе ОКПД2 присутствует следующее детализирующее наименование кода ОКПД2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i/>
          <w:iCs/>
          <w:lang w:val="en-US" w:eastAsia="en-US"/>
        </w:rPr>
        <w:t xml:space="preserve">20.59.12.120 - </w:t>
      </w:r>
      <w:r>
        <w:rPr>
          <w:rStyle w:val="CharStyle12"/>
          <w:i/>
          <w:iCs/>
        </w:rPr>
        <w:t>«Составы химические, используемые в фотографии, не включенные в другие группировки».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Таким образом, исходя из наименования кода ОКПД2 </w:t>
      </w:r>
      <w:r>
        <w:rPr>
          <w:rStyle w:val="CharStyle12"/>
          <w:i/>
          <w:iCs/>
          <w:lang w:val="en-US" w:eastAsia="en-US"/>
        </w:rPr>
        <w:t xml:space="preserve">20.59.12.120 </w:t>
      </w:r>
      <w:r>
        <w:rPr>
          <w:rStyle w:val="CharStyle12"/>
          <w:i/>
          <w:iCs/>
        </w:rPr>
        <w:t xml:space="preserve">«Составы химические, используемые в фотографии, не включенные в другие группировки», следует, что код ОКПД2 </w:t>
      </w:r>
      <w:r>
        <w:rPr>
          <w:rStyle w:val="CharStyle12"/>
          <w:i/>
          <w:iCs/>
          <w:lang w:val="en-US" w:eastAsia="en-US"/>
        </w:rPr>
        <w:t xml:space="preserve">20.59.12.120 </w:t>
      </w:r>
      <w:r>
        <w:rPr>
          <w:rStyle w:val="CharStyle12"/>
          <w:i/>
          <w:iCs/>
        </w:rPr>
        <w:t xml:space="preserve">соответствует используемым в фотографии товарам, в то время как Заказчиком не закупаются такие товары, поскольку объектом закупки являются картриджи для электрографических печатающих устройств, для которых наиболее соответствующим кодом является код ОКПД2 </w:t>
      </w:r>
      <w:r>
        <w:rPr>
          <w:rStyle w:val="CharStyle12"/>
          <w:i/>
          <w:iCs/>
          <w:lang w:val="en-US" w:eastAsia="en-US"/>
        </w:rPr>
        <w:t xml:space="preserve">28.23.25.000, </w:t>
      </w:r>
      <w:r>
        <w:rPr>
          <w:rStyle w:val="CharStyle12"/>
          <w:i/>
          <w:iCs/>
        </w:rPr>
        <w:t xml:space="preserve">в отношении которого следует применять преимущество, предусмотренное положениями Постановления </w:t>
      </w:r>
      <w:r>
        <w:rPr>
          <w:rStyle w:val="CharStyle12"/>
          <w:i/>
          <w:iCs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На основании вышеизложенного, Комиссия Управления приходит к выводу о нарушении Заказчиком положений п.1 ч.1 ст.33, ч.1 ст.14, п.15 ч.1 ст.42 Закона о контрактной системе,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Так, представитель Заказчика указал, что предписание от </w:t>
      </w: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077/06/105-5362/2026 </w:t>
      </w:r>
      <w:r>
        <w:rPr>
          <w:rStyle w:val="CharStyle12"/>
        </w:rPr>
        <w:t xml:space="preserve">требовало отменить протокол подведения итогов определения поставщика (подрядчика, исполнителя), привести извещение в соответствие с Законом о контрактной системе, назначить новую дату. Данные требования исполнены в полном объёме. Предписание не содержало императивного указания на применение кода </w:t>
      </w:r>
      <w:r>
        <w:rPr>
          <w:rStyle w:val="CharStyle12"/>
          <w:lang w:val="en-US" w:eastAsia="en-US"/>
        </w:rPr>
        <w:t xml:space="preserve">28.23.25.000, </w:t>
      </w:r>
      <w:r>
        <w:rPr>
          <w:rStyle w:val="CharStyle12"/>
        </w:rPr>
        <w:t xml:space="preserve">вывод УФАС о том, что код </w:t>
      </w:r>
      <w:r>
        <w:rPr>
          <w:rStyle w:val="CharStyle12"/>
          <w:lang w:val="en-US" w:eastAsia="en-US"/>
        </w:rPr>
        <w:t xml:space="preserve">28.23.25.000 </w:t>
      </w:r>
      <w:r>
        <w:rPr>
          <w:rStyle w:val="CharStyle12"/>
        </w:rPr>
        <w:t xml:space="preserve">является «наиболее соответствующим», носит рекомендательный, а не предписывающий характер. Таким образом, код ОКПД2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>является законным и надлежащим.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иерархии ОКПД2, код </w:t>
      </w:r>
      <w:r>
        <w:rPr>
          <w:rStyle w:val="CharStyle12"/>
          <w:lang w:val="en-US" w:eastAsia="en-US"/>
        </w:rPr>
        <w:t xml:space="preserve">26.20.40.120 </w:t>
      </w:r>
      <w:r>
        <w:rPr>
          <w:rStyle w:val="CharStyle12"/>
        </w:rPr>
        <w:t xml:space="preserve">«Элементы замены типовые устройств ввода и вывода» входит в группу </w:t>
      </w:r>
      <w:r>
        <w:rPr>
          <w:rStyle w:val="CharStyle12"/>
          <w:lang w:val="en-US" w:eastAsia="en-US"/>
        </w:rPr>
        <w:t xml:space="preserve">26.20 </w:t>
      </w:r>
      <w:r>
        <w:rPr>
          <w:rStyle w:val="CharStyle12"/>
        </w:rPr>
        <w:t xml:space="preserve">«Компьютеры и периферийное оборудование». Принтеры и МФУ являются периферийными устройствами вывода, а картриджи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типовыми сменными элементами таких устройств. Код </w:t>
      </w:r>
      <w:r>
        <w:rPr>
          <w:rStyle w:val="CharStyle12"/>
          <w:lang w:val="en-US" w:eastAsia="en-US"/>
        </w:rPr>
        <w:t xml:space="preserve">28.23.25.000, </w:t>
      </w:r>
      <w:r>
        <w:rPr>
          <w:rStyle w:val="CharStyle12"/>
        </w:rPr>
        <w:t>напротив, относится к машинам офисным кроме компьютеров и периферийного оборудования, что исключает его применимость.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отмечает, Заказчиком при исполнении предписания не учтена позиция контролирующего органа, выраженная в мотивировочной части решения по делу </w:t>
      </w:r>
      <w:r>
        <w:rPr>
          <w:rStyle w:val="CharStyle12"/>
          <w:lang w:val="en-US" w:eastAsia="en-US"/>
        </w:rPr>
        <w:t xml:space="preserve">№ 077/06/105-5362/2026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29.04.2026, </w:t>
      </w:r>
      <w:r>
        <w:rPr>
          <w:rStyle w:val="CharStyle12"/>
        </w:rPr>
        <w:t xml:space="preserve">в соответствии с которой Заказчику необходимо было установить код ОКПД2 </w:t>
      </w:r>
      <w:r>
        <w:rPr>
          <w:rStyle w:val="CharStyle12"/>
          <w:lang w:val="en-US" w:eastAsia="en-US"/>
        </w:rPr>
        <w:t>28.23.25.000.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Комиссия Управления приходит к выводу, что Заказчиком в нарушение п.2 ч.22 ст.99 Закона о контрактной системе не исполнено в полном объёме и надлежащим образом обязательное для исполнения предписание об устранении нарушений законодательства о контрактной системе по делу </w:t>
      </w:r>
      <w:r>
        <w:rPr>
          <w:rStyle w:val="CharStyle12"/>
          <w:lang w:val="en-US" w:eastAsia="en-US"/>
        </w:rPr>
        <w:t xml:space="preserve">№077/06/105-5362/2026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29.04.2026, </w:t>
      </w:r>
      <w:r>
        <w:rPr>
          <w:rStyle w:val="CharStyle12"/>
        </w:rPr>
        <w:t>что также содержит признаки состава административного правонарушения, ответственность за которое предусмотрена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ч.7</w:t>
        <w:tab/>
        <w:t>ст.19.5 Кодекса Российской Федерации об административных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«ДОМИНАНТ» на действия «Музей музыки»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в действиях Заказчика нарушение п.2 ч.22 ст.99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533" w:bottom="855" w:left="10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5900" distL="0" distR="0" simplePos="0" relativeHeight="125829379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50000000000001pt;margin-top:26.pt;width:145.20000000000002pt;height:19.699999999999999pt;z-index:-125829374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1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400050</wp:posOffset>
            </wp:positionV>
            <wp:extent cx="359410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488315</wp:posOffset>
                </wp:positionV>
                <wp:extent cx="1725295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25pt;margin-top:38.450000000000003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5900" distL="0" distR="0" simplePos="0" relativeHeight="125829382" behindDoc="0" locked="0" layoutInCell="1" allowOverlap="1">
                <wp:simplePos x="0" y="0"/>
                <wp:positionH relativeFrom="page">
                  <wp:posOffset>5904230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4.90000000000003pt;margin-top:26.pt;width:102.95pt;height:19.699999999999999pt;z-index:-125829371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9"/>
          <w:color w:val="FFFFFF"/>
          <w:sz w:val="11"/>
          <w:szCs w:val="11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98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25pt;margin-top:11.95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9"/>
          <w:color w:val="FFFFFF"/>
          <w:sz w:val="11"/>
          <w:szCs w:val="11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СОРБУЧЕВА МАРИЯ ВАСИЛЬЕВНА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6EBF6CE6C27B6345D47DBCD40C7FA5FD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19"/>
        </w:rPr>
        <w:t xml:space="preserve">Действителен с 19.09.2025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13.12.2026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60000000000002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44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ПЕРЕВЕРЗЕВА ЕЛИЗАВЕТА СЕРГЕЕВНА</w:t>
      </w:r>
      <w:r>
        <w:rPr>
          <w:rStyle w:val="CharStyle19"/>
          <w:color w:val="000000"/>
          <w:sz w:val="11"/>
          <w:szCs w:val="11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06.03.2027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10025380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89.39999999999998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251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7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442595</wp:posOffset>
              </wp:positionV>
              <wp:extent cx="6985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4.850000000000001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