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8"/>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8"/>
          <w:sz w:val="17"/>
          <w:szCs w:val="17"/>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rStyle w:val="CharStyle3"/>
          <w:b/>
          <w:bCs/>
          <w:color w:val="476198"/>
          <w:sz w:val="19"/>
          <w:szCs w:val="19"/>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after="240" w:line="276" w:lineRule="auto"/>
        <w:ind w:left="0" w:right="0" w:firstLine="0"/>
        <w:jc w:val="center"/>
        <w:rPr>
          <w:sz w:val="16"/>
          <w:szCs w:val="16"/>
        </w:rPr>
      </w:pPr>
      <w:r>
        <w:rPr>
          <w:rStyle w:val="CharStyle3"/>
          <w:color w:val="476198"/>
          <w:sz w:val="16"/>
          <w:szCs w:val="16"/>
        </w:rPr>
        <w:t>ул. Ленина, 384, г. Ставрополь, 355003</w:t>
        <w:br/>
        <w:t>тел. (8652) 25-74-05, факс (8652) 35-28-09</w:t>
        <w:br/>
      </w:r>
      <w:r>
        <w:rPr>
          <w:rStyle w:val="CharStyle3"/>
          <w:color w:val="476198"/>
          <w:sz w:val="16"/>
          <w:szCs w:val="16"/>
          <w:lang w:val="en-US" w:eastAsia="en-US"/>
        </w:rPr>
        <w:t xml:space="preserve">e-mail: </w:t>
      </w:r>
      <w:r>
        <w:fldChar w:fldCharType="begin"/>
      </w:r>
      <w:r>
        <w:rPr/>
        <w:instrText> HYPERLINK "mailto:to26@fas.gov.ru" </w:instrText>
      </w:r>
      <w:r>
        <w:fldChar w:fldCharType="separate"/>
      </w:r>
      <w:r>
        <w:rPr>
          <w:rStyle w:val="CharStyle3"/>
          <w:color w:val="476198"/>
          <w:sz w:val="16"/>
          <w:szCs w:val="16"/>
          <w:lang w:val="en-US" w:eastAsia="en-US"/>
        </w:rPr>
        <w:t>to26@fas.gov.ru</w:t>
      </w:r>
      <w:r>
        <w:fldChar w:fldCharType="end"/>
      </w:r>
    </w:p>
    <w:p>
      <w:pPr>
        <w:pStyle w:val="Style11"/>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2"/>
        </w:rPr>
        <w:t>2</w:t>
      </w:r>
      <w:r>
        <w:fldChar w:fldCharType="begin"/>
      </w:r>
      <w:r>
        <w:rPr/>
        <w:instrText> HYPERLINK "file://f207ca94-a13c-4ba0-b72d-f018c9eed8f1/" </w:instrText>
      </w:r>
      <w:r>
        <w:fldChar w:fldCharType="separate"/>
      </w:r>
      <w:r>
        <w:rPr>
          <w:rStyle w:val="CharStyle12"/>
        </w:rPr>
        <w:t>2.05.2026</w:t>
        <w:tab/>
      </w:r>
      <w:r>
        <w:fldChar w:fldCharType="end"/>
      </w:r>
      <w:r>
        <w:rPr>
          <w:rStyle w:val="CharStyle12"/>
        </w:rPr>
        <w:t>№ ЕС/5398/26</w:t>
      </w:r>
      <w:bookmarkEnd w:id="0"/>
    </w:p>
    <w:p>
      <w:pPr>
        <w:pStyle w:val="Style2"/>
        <w:keepNext w:val="0"/>
        <w:keepLines w:val="0"/>
        <w:widowControl w:val="0"/>
        <w:shd w:val="clear" w:color="auto" w:fill="auto"/>
        <w:bidi w:val="0"/>
        <w:spacing w:before="0" w:after="0" w:line="264" w:lineRule="auto"/>
        <w:ind w:left="0" w:right="0" w:firstLine="0"/>
        <w:jc w:val="center"/>
        <w:rPr>
          <w:sz w:val="18"/>
          <w:szCs w:val="18"/>
        </w:rPr>
      </w:pPr>
      <w:r>
        <w:rPr>
          <w:rStyle w:val="CharStyle3"/>
          <w:color w:val="476198"/>
          <w:sz w:val="18"/>
          <w:szCs w:val="18"/>
        </w:rPr>
        <w:t xml:space="preserve">На №  от</w:t>
      </w:r>
    </w:p>
    <w:p>
      <w:pPr>
        <w:spacing w:lineRule="exact" w:line="1"/>
        <w:rPr>
          <w:sz w:val="2"/>
          <w:szCs w:val="2"/>
        </w:rPr>
      </w:pPr>
      <w:r>
        <w:br w:type="column"/>
      </w:r>
    </w:p>
    <w:p>
      <w:pPr>
        <w:pStyle w:val="Style14"/>
        <w:keepNext w:val="0"/>
        <w:keepLines w:val="0"/>
        <w:widowControl w:val="0"/>
        <w:shd w:val="clear" w:color="auto" w:fill="auto"/>
        <w:bidi w:val="0"/>
        <w:spacing w:before="0" w:after="0" w:line="240" w:lineRule="auto"/>
        <w:ind w:left="0" w:right="0" w:firstLine="0"/>
        <w:jc w:val="left"/>
      </w:pPr>
      <w:r>
        <w:rPr>
          <w:rStyle w:val="CharStyle15"/>
        </w:rPr>
        <w:t>Заявитель:</w:t>
      </w:r>
    </w:p>
    <w:p>
      <w:pPr>
        <w:pStyle w:val="Style14"/>
        <w:keepNext w:val="0"/>
        <w:keepLines w:val="0"/>
        <w:widowControl w:val="0"/>
        <w:shd w:val="clear" w:color="auto" w:fill="auto"/>
        <w:bidi w:val="0"/>
        <w:spacing w:before="0" w:after="0" w:line="240" w:lineRule="auto"/>
        <w:ind w:left="0" w:right="0" w:firstLine="0"/>
        <w:jc w:val="left"/>
      </w:pPr>
      <w:r>
        <w:rPr>
          <w:rStyle w:val="CharStyle15"/>
        </w:rPr>
        <w:t>ООО «Юнитор»</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Вавилова ул., д. 68/1, пом. 37, г. Ростов- на-Дону, 344064 </w:t>
      </w:r>
      <w:r>
        <w:fldChar w:fldCharType="begin"/>
      </w:r>
      <w:r>
        <w:rPr/>
        <w:instrText> HYPERLINK "mailto:ooounitor-rostov@mail.ru" </w:instrText>
      </w:r>
      <w:r>
        <w:fldChar w:fldCharType="separate"/>
      </w:r>
      <w:r>
        <w:rPr>
          <w:rStyle w:val="CharStyle15"/>
          <w:lang w:val="en-US" w:eastAsia="en-US"/>
        </w:rPr>
        <w:t>ooounitor-rostov@mail.ru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Заказчик:</w:t>
      </w:r>
    </w:p>
    <w:p>
      <w:pPr>
        <w:pStyle w:val="Style14"/>
        <w:keepNext w:val="0"/>
        <w:keepLines w:val="0"/>
        <w:widowControl w:val="0"/>
        <w:shd w:val="clear" w:color="auto" w:fill="auto"/>
        <w:bidi w:val="0"/>
        <w:spacing w:before="0" w:after="0" w:line="240" w:lineRule="auto"/>
        <w:ind w:left="0" w:right="0" w:firstLine="0"/>
        <w:jc w:val="left"/>
      </w:pPr>
      <w:r>
        <w:rPr>
          <w:rStyle w:val="CharStyle15"/>
        </w:rPr>
        <w:t>ГБУЗ СК «Труновская районная больница»</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58" w:right="704" w:bottom="1312" w:left="1135" w:header="0" w:footer="3" w:gutter="0"/>
          <w:pgNumType w:start="1"/>
          <w:cols w:num="2" w:space="720" w:equalWidth="0">
            <w:col w:w="4186" w:space="1085"/>
            <w:col w:w="4790"/>
          </w:cols>
          <w:noEndnote/>
          <w:rtlGutter w:val="0"/>
          <w:docGrid w:linePitch="360"/>
        </w:sectPr>
      </w:pPr>
      <w:r>
        <w:rPr>
          <w:rStyle w:val="CharStyle15"/>
        </w:rPr>
        <w:t xml:space="preserve">Солнечная ул., д. 26, с. Донское, Труновский район, Ставропольский край, 356170 </w:t>
      </w:r>
      <w:r>
        <w:fldChar w:fldCharType="begin"/>
      </w:r>
      <w:r>
        <w:rPr/>
        <w:instrText> HYPERLINK "mailto:truncrb@mail.ru" </w:instrText>
      </w:r>
      <w:r>
        <w:fldChar w:fldCharType="separate"/>
      </w:r>
      <w:r>
        <w:rPr>
          <w:rStyle w:val="CharStyle15"/>
          <w:lang w:val="en-US" w:eastAsia="en-US"/>
        </w:rPr>
        <w:t>truncrb@mail.ru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95" w:after="9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 w:right="0" w:bottom="1312"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rStyle w:val="CharStyle15"/>
          <w:b/>
          <w:bCs/>
        </w:rPr>
        <w:t>РЕШЕНИЕ</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по делу № 026/06/105-1070/2026</w:t>
        <w:br/>
        <w:t>о нарушении законодательства о закупках</w:t>
      </w:r>
    </w:p>
    <w:p>
      <w:pPr>
        <w:pStyle w:val="Style14"/>
        <w:keepNext w:val="0"/>
        <w:keepLines w:val="0"/>
        <w:widowControl w:val="0"/>
        <w:shd w:val="clear" w:color="auto" w:fill="auto"/>
        <w:tabs>
          <w:tab w:pos="8544" w:val="left"/>
        </w:tabs>
        <w:bidi w:val="0"/>
        <w:spacing w:before="0" w:after="280" w:line="240" w:lineRule="auto"/>
        <w:ind w:left="0" w:right="0" w:firstLine="0"/>
        <w:jc w:val="both"/>
      </w:pPr>
      <w:r>
        <w:rPr>
          <w:rStyle w:val="CharStyle15"/>
        </w:rPr>
        <w:t>19.05.2026 года</w:t>
        <w:tab/>
        <w:t>г. Ставрополь</w:t>
      </w:r>
    </w:p>
    <w:p>
      <w:pPr>
        <w:pStyle w:val="Style14"/>
        <w:keepNext w:val="0"/>
        <w:keepLines w:val="0"/>
        <w:widowControl w:val="0"/>
        <w:shd w:val="clear" w:color="auto" w:fill="auto"/>
        <w:bidi w:val="0"/>
        <w:spacing w:before="0" w:after="0" w:line="240" w:lineRule="auto"/>
        <w:ind w:left="0" w:right="0" w:firstLine="520"/>
        <w:jc w:val="both"/>
      </w:pPr>
      <w:r>
        <w:rPr>
          <w:rStyle w:val="CharStyle15"/>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14"/>
        <w:keepNext w:val="0"/>
        <w:keepLines w:val="0"/>
        <w:widowControl w:val="0"/>
        <w:shd w:val="clear" w:color="auto" w:fill="auto"/>
        <w:bidi w:val="0"/>
        <w:spacing w:before="0" w:after="0" w:line="240" w:lineRule="auto"/>
        <w:ind w:left="0" w:right="0" w:firstLine="520"/>
        <w:jc w:val="both"/>
      </w:pPr>
      <w:r>
        <w:rPr>
          <w:rStyle w:val="CharStyle15"/>
        </w:rPr>
        <w:t>Председателя Комиссии, заместителя руководителя Управления Федеральной антимонопольной службы по Ставропольскому краю Соколова Е.А.,</w:t>
      </w:r>
    </w:p>
    <w:p>
      <w:pPr>
        <w:pStyle w:val="Style14"/>
        <w:keepNext w:val="0"/>
        <w:keepLines w:val="0"/>
        <w:widowControl w:val="0"/>
        <w:shd w:val="clear" w:color="auto" w:fill="auto"/>
        <w:bidi w:val="0"/>
        <w:spacing w:before="0" w:after="0" w:line="240" w:lineRule="auto"/>
        <w:ind w:left="0" w:right="0" w:firstLine="500"/>
        <w:jc w:val="both"/>
      </w:pPr>
      <w:r>
        <w:rPr>
          <w:rStyle w:val="CharStyle15"/>
        </w:rPr>
        <w:t>Членов комиссии:</w:t>
      </w:r>
    </w:p>
    <w:p>
      <w:pPr>
        <w:pStyle w:val="Style14"/>
        <w:keepNext w:val="0"/>
        <w:keepLines w:val="0"/>
        <w:widowControl w:val="0"/>
        <w:shd w:val="clear" w:color="auto" w:fill="auto"/>
        <w:tabs>
          <w:tab w:pos="2113" w:val="left"/>
          <w:tab w:pos="5252" w:val="left"/>
          <w:tab w:pos="6577" w:val="left"/>
          <w:tab w:pos="8602" w:val="left"/>
        </w:tabs>
        <w:bidi w:val="0"/>
        <w:spacing w:before="0" w:after="0" w:line="240" w:lineRule="auto"/>
        <w:ind w:left="0" w:right="0" w:firstLine="500"/>
        <w:jc w:val="both"/>
      </w:pPr>
      <w:r>
        <w:rPr>
          <w:rStyle w:val="CharStyle15"/>
        </w:rPr>
        <w:t>ведущего</w:t>
        <w:tab/>
        <w:t>специалиста-эксперта</w:t>
        <w:tab/>
        <w:t>отдела</w:t>
        <w:tab/>
        <w:t>Управления</w:t>
        <w:tab/>
        <w:t>Федеральной</w:t>
      </w:r>
    </w:p>
    <w:p>
      <w:pPr>
        <w:pStyle w:val="Style14"/>
        <w:keepNext w:val="0"/>
        <w:keepLines w:val="0"/>
        <w:widowControl w:val="0"/>
        <w:shd w:val="clear" w:color="auto" w:fill="auto"/>
        <w:bidi w:val="0"/>
        <w:spacing w:before="0" w:after="0" w:line="240" w:lineRule="auto"/>
        <w:ind w:left="0" w:right="0" w:firstLine="0"/>
        <w:jc w:val="both"/>
      </w:pPr>
      <w:r>
        <w:rPr>
          <w:rStyle w:val="CharStyle15"/>
        </w:rPr>
        <w:t>антимонопольной службы по Ставропольскому краю Темерханова И.А.</w:t>
      </w:r>
    </w:p>
    <w:p>
      <w:pPr>
        <w:pStyle w:val="Style14"/>
        <w:keepNext w:val="0"/>
        <w:keepLines w:val="0"/>
        <w:widowControl w:val="0"/>
        <w:shd w:val="clear" w:color="auto" w:fill="auto"/>
        <w:tabs>
          <w:tab w:pos="2113" w:val="left"/>
          <w:tab w:pos="5252" w:val="left"/>
          <w:tab w:pos="6577" w:val="left"/>
          <w:tab w:pos="8602" w:val="left"/>
        </w:tabs>
        <w:bidi w:val="0"/>
        <w:spacing w:before="0" w:after="0" w:line="240" w:lineRule="auto"/>
        <w:ind w:left="0" w:right="0" w:firstLine="500"/>
        <w:jc w:val="both"/>
      </w:pPr>
      <w:r>
        <w:rPr>
          <w:rStyle w:val="CharStyle15"/>
        </w:rPr>
        <w:t>ведущего</w:t>
        <w:tab/>
        <w:t>специалиста-эксперта</w:t>
        <w:tab/>
        <w:t>отдела</w:t>
        <w:tab/>
        <w:t>Управления</w:t>
        <w:tab/>
        <w:t>Федеральной</w:t>
      </w:r>
    </w:p>
    <w:p>
      <w:pPr>
        <w:pStyle w:val="Style14"/>
        <w:keepNext w:val="0"/>
        <w:keepLines w:val="0"/>
        <w:widowControl w:val="0"/>
        <w:shd w:val="clear" w:color="auto" w:fill="auto"/>
        <w:bidi w:val="0"/>
        <w:spacing w:before="0" w:after="0" w:line="240" w:lineRule="auto"/>
        <w:ind w:left="0" w:right="0" w:firstLine="0"/>
        <w:jc w:val="both"/>
      </w:pPr>
      <w:r>
        <w:rPr>
          <w:rStyle w:val="CharStyle15"/>
        </w:rPr>
        <w:t>антимонопольной службы по Ставропольскому краю Дзыба А.З.</w:t>
      </w:r>
    </w:p>
    <w:p>
      <w:pPr>
        <w:pStyle w:val="Style14"/>
        <w:keepNext w:val="0"/>
        <w:keepLines w:val="0"/>
        <w:widowControl w:val="0"/>
        <w:shd w:val="clear" w:color="auto" w:fill="auto"/>
        <w:bidi w:val="0"/>
        <w:spacing w:before="0" w:after="0" w:line="240" w:lineRule="auto"/>
        <w:ind w:left="0" w:right="0" w:firstLine="500"/>
        <w:jc w:val="both"/>
      </w:pPr>
      <w:r>
        <w:rPr>
          <w:rStyle w:val="CharStyle15"/>
        </w:rPr>
        <w:t>В присутствии представителей сторон:</w:t>
      </w:r>
    </w:p>
    <w:p>
      <w:pPr>
        <w:pStyle w:val="Style14"/>
        <w:keepNext w:val="0"/>
        <w:keepLines w:val="0"/>
        <w:widowControl w:val="0"/>
        <w:shd w:val="clear" w:color="auto" w:fill="auto"/>
        <w:bidi w:val="0"/>
        <w:spacing w:before="0" w:after="0" w:line="240" w:lineRule="auto"/>
        <w:ind w:left="0" w:right="0" w:firstLine="500"/>
        <w:jc w:val="both"/>
      </w:pPr>
      <w:r>
        <w:rPr>
          <w:rStyle w:val="CharStyle15"/>
        </w:rPr>
        <w:t>от заявителя — Горошко С.В.,</w:t>
      </w:r>
    </w:p>
    <w:p>
      <w:pPr>
        <w:pStyle w:val="Style14"/>
        <w:keepNext w:val="0"/>
        <w:keepLines w:val="0"/>
        <w:widowControl w:val="0"/>
        <w:shd w:val="clear" w:color="auto" w:fill="auto"/>
        <w:bidi w:val="0"/>
        <w:spacing w:before="0" w:after="340" w:line="240" w:lineRule="auto"/>
        <w:ind w:left="0" w:right="0" w:firstLine="500"/>
        <w:jc w:val="both"/>
      </w:pPr>
      <w:r>
        <w:rPr>
          <w:rStyle w:val="CharStyle15"/>
        </w:rPr>
        <w:t>от заказчика в отсутствие.</w:t>
      </w:r>
    </w:p>
    <w:p>
      <w:pPr>
        <w:pStyle w:val="Style14"/>
        <w:keepNext w:val="0"/>
        <w:keepLines w:val="0"/>
        <w:widowControl w:val="0"/>
        <w:shd w:val="clear" w:color="auto" w:fill="auto"/>
        <w:bidi w:val="0"/>
        <w:spacing w:before="0" w:after="280" w:line="240" w:lineRule="auto"/>
        <w:ind w:left="4380" w:right="0" w:firstLine="0"/>
        <w:jc w:val="left"/>
      </w:pPr>
      <w:r>
        <w:rPr>
          <w:rStyle w:val="CharStyle15"/>
          <w:b/>
          <w:bCs/>
        </w:rPr>
        <w:t>УСТАНОВИЛА</w:t>
      </w:r>
    </w:p>
    <w:p>
      <w:pPr>
        <w:pStyle w:val="Style14"/>
        <w:keepNext w:val="0"/>
        <w:keepLines w:val="0"/>
        <w:widowControl w:val="0"/>
        <w:shd w:val="clear" w:color="auto" w:fill="auto"/>
        <w:bidi w:val="0"/>
        <w:spacing w:before="0" w:after="280" w:line="240" w:lineRule="auto"/>
        <w:ind w:left="0" w:right="0" w:firstLine="520"/>
        <w:jc w:val="both"/>
        <w:rPr>
          <w:sz w:val="26"/>
          <w:szCs w:val="26"/>
        </w:rPr>
      </w:pPr>
      <w:r>
        <w:rPr>
          <w:rStyle w:val="CharStyle15"/>
        </w:rPr>
        <w:t xml:space="preserve">В Управление Федеральной антимонопольной службы по Ставропольскому краю (далее – Управление) поступила жалоба ООО «Юнитор» </w:t>
      </w:r>
      <w:r>
        <w:rPr>
          <w:rStyle w:val="CharStyle15"/>
          <w:sz w:val="26"/>
          <w:szCs w:val="26"/>
        </w:rPr>
        <w:t xml:space="preserve">(далее — Заявитель) на действия </w:t>
      </w:r>
      <w:r>
        <w:rPr>
          <w:rStyle w:val="CharStyle15"/>
        </w:rPr>
        <w:t xml:space="preserve">ГБУЗ СК «Труновская районная больница» </w:t>
      </w:r>
      <w:r>
        <w:rPr>
          <w:rStyle w:val="CharStyle15"/>
          <w:sz w:val="26"/>
          <w:szCs w:val="26"/>
        </w:rPr>
        <w:t>(далее — Заказчик) по факту осуществления закупки путем проведения запроса котировок в электронной форме</w:t>
      </w:r>
    </w:p>
    <w:p>
      <w:pPr>
        <w:widowControl w:val="0"/>
        <w:spacing w:line="1" w:lineRule="exact"/>
        <w:sectPr>
          <w:footnotePr>
            <w:pos w:val="pageBottom"/>
            <w:numFmt w:val="decimal"/>
            <w:numRestart w:val="continuous"/>
          </w:footnotePr>
          <w:type w:val="continuous"/>
          <w:pgSz w:w="11900" w:h="16840"/>
          <w:pgMar w:top="58" w:right="541" w:bottom="1312" w:left="1111" w:header="0" w:footer="3" w:gutter="0"/>
          <w:cols w:space="720"/>
          <w:noEndnote/>
          <w:rtlGutter w:val="0"/>
          <w:docGrid w:linePitch="360"/>
        </w:sectPr>
      </w:pPr>
      <w:r>
        <w:drawing>
          <wp:anchor distT="88900" distB="0" distL="0" distR="0" simplePos="0" relativeHeight="125829378" behindDoc="0" locked="0" layoutInCell="1" allowOverlap="1">
            <wp:simplePos x="0" y="0"/>
            <wp:positionH relativeFrom="page">
              <wp:posOffset>717550</wp:posOffset>
            </wp:positionH>
            <wp:positionV relativeFrom="paragraph">
              <wp:posOffset>88900</wp:posOffset>
            </wp:positionV>
            <wp:extent cx="1511935" cy="29273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6"/>
                    <a:stretch/>
                  </pic:blipFill>
                  <pic:spPr>
                    <a:xfrm>
                      <a:ext cx="1511935"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0"/>
        <w:jc w:val="both"/>
      </w:pPr>
      <w:r>
        <w:rPr>
          <w:rStyle w:val="CharStyle15"/>
          <w:sz w:val="26"/>
          <w:szCs w:val="26"/>
          <w:lang w:val="en-US" w:eastAsia="en-US"/>
        </w:rPr>
        <w:t xml:space="preserve">№ 0321300037626000082 </w:t>
      </w:r>
      <w:r>
        <w:rPr>
          <w:rStyle w:val="CharStyle15"/>
          <w:sz w:val="26"/>
          <w:szCs w:val="26"/>
        </w:rPr>
        <w:t xml:space="preserve">«Закупка дезинфицирующих средств» </w:t>
      </w:r>
      <w:r>
        <w:rPr>
          <w:rStyle w:val="CharStyle15"/>
        </w:rPr>
        <w:t xml:space="preserve">(далее </w:t>
      </w:r>
      <w:r>
        <w:rPr>
          <w:rStyle w:val="CharStyle15"/>
          <w:lang w:val="en-US" w:eastAsia="en-US"/>
        </w:rPr>
        <w:t xml:space="preserve">- </w:t>
      </w:r>
      <w:r>
        <w:rPr>
          <w:rStyle w:val="CharStyle15"/>
        </w:rPr>
        <w:t>закупка).</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Жалоба в порядке статьи </w:t>
      </w:r>
      <w:r>
        <w:rPr>
          <w:rStyle w:val="CharStyle15"/>
          <w:lang w:val="en-US" w:eastAsia="en-US"/>
        </w:rPr>
        <w:t xml:space="preserve">105, </w:t>
      </w:r>
      <w:r>
        <w:rPr>
          <w:rStyle w:val="CharStyle15"/>
        </w:rPr>
        <w:t xml:space="preserve">статьи </w:t>
      </w:r>
      <w:r>
        <w:rPr>
          <w:rStyle w:val="CharStyle15"/>
          <w:lang w:val="en-US" w:eastAsia="en-US"/>
        </w:rPr>
        <w:t xml:space="preserve">106 </w:t>
      </w:r>
      <w:r>
        <w:rPr>
          <w:rStyle w:val="CharStyle15"/>
        </w:rPr>
        <w:t xml:space="preserve">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государственных и муниципальных нужд» (далее </w:t>
      </w:r>
      <w:r>
        <w:rPr>
          <w:rStyle w:val="CharStyle15"/>
          <w:lang w:val="en-US" w:eastAsia="en-US"/>
        </w:rPr>
        <w:t xml:space="preserve">- </w:t>
      </w:r>
      <w:r>
        <w:rPr>
          <w:rStyle w:val="CharStyle15"/>
        </w:rPr>
        <w:t xml:space="preserve">Закон №44-ФЗ) принята к рассмотрению и назначена на </w:t>
      </w:r>
      <w:r>
        <w:rPr>
          <w:rStyle w:val="CharStyle15"/>
          <w:lang w:val="en-US" w:eastAsia="en-US"/>
        </w:rPr>
        <w:t xml:space="preserve">19.05.2026 </w:t>
      </w:r>
      <w:r>
        <w:rPr>
          <w:rStyle w:val="CharStyle15"/>
        </w:rPr>
        <w:t>г. с вызовом сторон по делу.</w:t>
      </w:r>
    </w:p>
    <w:p>
      <w:pPr>
        <w:pStyle w:val="Style14"/>
        <w:keepNext w:val="0"/>
        <w:keepLines w:val="0"/>
        <w:widowControl w:val="0"/>
        <w:shd w:val="clear" w:color="auto" w:fill="auto"/>
        <w:bidi w:val="0"/>
        <w:spacing w:before="0" w:after="0" w:line="240" w:lineRule="auto"/>
        <w:ind w:left="0" w:right="0" w:firstLine="560"/>
        <w:jc w:val="both"/>
      </w:pPr>
      <w:r>
        <w:rPr>
          <w:rStyle w:val="CharStyle15"/>
          <w:lang w:val="en-US" w:eastAsia="en-US"/>
        </w:rPr>
        <w:t xml:space="preserve">19.05.2026 </w:t>
      </w:r>
      <w:r>
        <w:rPr>
          <w:rStyle w:val="CharStyle15"/>
        </w:rPr>
        <w:t xml:space="preserve">г. Комиссия, выслушав пояснения присутствующих представителей, рассмотрев доводы жалобы, проанализировав имеющиеся в деле документы, проведя в соответствии со статьей </w:t>
      </w:r>
      <w:r>
        <w:rPr>
          <w:rStyle w:val="CharStyle15"/>
          <w:lang w:val="en-US" w:eastAsia="en-US"/>
        </w:rPr>
        <w:t xml:space="preserve">99 </w:t>
      </w:r>
      <w:r>
        <w:rPr>
          <w:rStyle w:val="CharStyle15"/>
        </w:rPr>
        <w:t>Закона №44-ФЗ внеплановую проверку закупки установила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lang w:val="en-US" w:eastAsia="en-US"/>
        </w:rPr>
        <w:t xml:space="preserve">06.05.2026 </w:t>
      </w:r>
      <w:r>
        <w:rPr>
          <w:rStyle w:val="CharStyle15"/>
        </w:rPr>
        <w:t xml:space="preserve">г. Заказчиком опубликовано извещение о проведении закупки (далее </w:t>
      </w:r>
      <w:r>
        <w:rPr>
          <w:rStyle w:val="CharStyle15"/>
          <w:lang w:val="en-US" w:eastAsia="en-US"/>
        </w:rPr>
        <w:t xml:space="preserve">– </w:t>
      </w:r>
      <w:r>
        <w:rPr>
          <w:rStyle w:val="CharStyle15"/>
        </w:rPr>
        <w:t xml:space="preserve">Извещение). Начальная (максимальная) цена контракта составила </w:t>
      </w:r>
      <w:r>
        <w:rPr>
          <w:rStyle w:val="CharStyle15"/>
          <w:lang w:val="en-US" w:eastAsia="en-US"/>
        </w:rPr>
        <w:t xml:space="preserve">834 061,90 </w:t>
      </w:r>
      <w:r>
        <w:rPr>
          <w:rStyle w:val="CharStyle15"/>
        </w:rPr>
        <w:t>рублей.</w:t>
      </w:r>
    </w:p>
    <w:p>
      <w:pPr>
        <w:pStyle w:val="Style14"/>
        <w:keepNext w:val="0"/>
        <w:keepLines w:val="0"/>
        <w:widowControl w:val="0"/>
        <w:shd w:val="clear" w:color="auto" w:fill="auto"/>
        <w:bidi w:val="0"/>
        <w:spacing w:before="0" w:after="0" w:line="240" w:lineRule="auto"/>
        <w:ind w:left="0" w:right="0" w:firstLine="560"/>
        <w:jc w:val="both"/>
      </w:pPr>
      <w:r>
        <w:rPr>
          <w:rStyle w:val="CharStyle15"/>
        </w:rPr>
        <w:t>ООО «Юнитор» не согласившись с условиями извещения подало жалобу в управление.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Довод жалобы об установлении избыточных, противоречивых требований Комиссия Ставропольского УФАС России приходит в выводу об обоснованности в связи со следующим.</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На основании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№44-ФЗ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560"/>
        <w:jc w:val="both"/>
      </w:pPr>
      <w:r>
        <w:rPr>
          <w:rStyle w:val="CharStyle15"/>
        </w:rPr>
        <w:t>При этом, требования Законодательства о контрактной системе, не обязывают участника закупки приобретать продукцию или проводить дополнительные лабораторные исследования для подтверждения конкретных показателей товара, которые невозможно установить заранее без приобретения самого товара.</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соответствии с пунктом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4"/>
        <w:keepNext w:val="0"/>
        <w:keepLines w:val="0"/>
        <w:widowControl w:val="0"/>
        <w:numPr>
          <w:ilvl w:val="0"/>
          <w:numId w:val="1"/>
        </w:numPr>
        <w:shd w:val="clear" w:color="auto" w:fill="auto"/>
        <w:tabs>
          <w:tab w:pos="803" w:val="left"/>
        </w:tabs>
        <w:bidi w:val="0"/>
        <w:spacing w:before="0" w:after="0" w:line="240" w:lineRule="auto"/>
        <w:ind w:left="0" w:right="0" w:firstLine="560"/>
        <w:jc w:val="both"/>
      </w:pPr>
      <w:r>
        <w:rPr>
          <w:rStyle w:val="CharStyle15"/>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4"/>
        <w:keepNext w:val="0"/>
        <w:keepLines w:val="0"/>
        <w:widowControl w:val="0"/>
        <w:numPr>
          <w:ilvl w:val="0"/>
          <w:numId w:val="1"/>
        </w:numPr>
        <w:shd w:val="clear" w:color="auto" w:fill="auto"/>
        <w:tabs>
          <w:tab w:pos="797" w:val="left"/>
        </w:tabs>
        <w:bidi w:val="0"/>
        <w:spacing w:before="0" w:after="0" w:line="240" w:lineRule="auto"/>
        <w:ind w:left="0" w:right="0" w:firstLine="560"/>
        <w:jc w:val="both"/>
        <w:rPr>
          <w:sz w:val="24"/>
          <w:szCs w:val="24"/>
        </w:rPr>
        <w:sectPr>
          <w:headerReference w:type="default" r:id="rId8"/>
          <w:footerReference w:type="default" r:id="rId9"/>
          <w:footnotePr>
            <w:pos w:val="pageBottom"/>
            <w:numFmt w:val="decimal"/>
            <w:numRestart w:val="continuous"/>
          </w:footnotePr>
          <w:pgSz w:w="11900" w:h="16840"/>
          <w:pgMar w:top="1666" w:right="1106" w:bottom="816" w:left="536" w:header="0" w:footer="388" w:gutter="0"/>
          <w:cols w:space="720"/>
          <w:noEndnote/>
          <w:rtlGutter w:val="0"/>
          <w:docGrid w:linePitch="360"/>
        </w:sectPr>
      </w:pPr>
      <w:r>
        <w:rPr>
          <w:rStyle w:val="CharStyle15"/>
        </w:rPr>
        <w:t xml:space="preserve">при использовании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w:t>
      </w:r>
      <w:r>
        <w:rPr>
          <w:rStyle w:val="CharStyle15"/>
          <w:sz w:val="24"/>
          <w:szCs w:val="24"/>
          <w:lang w:val="en-US" w:eastAsia="en-US"/>
        </w:rPr>
        <w:t>2026-5819</w:t>
      </w:r>
    </w:p>
    <w:p>
      <w:pPr>
        <w:pStyle w:val="Style14"/>
        <w:keepNext w:val="0"/>
        <w:keepLines w:val="0"/>
        <w:widowControl w:val="0"/>
        <w:shd w:val="clear" w:color="auto" w:fill="auto"/>
        <w:bidi w:val="0"/>
        <w:spacing w:before="0" w:after="0" w:line="240" w:lineRule="auto"/>
        <w:ind w:left="0" w:right="0" w:firstLine="0"/>
        <w:jc w:val="both"/>
      </w:pPr>
      <w:r>
        <w:rPr>
          <w:rStyle w:val="CharStyle15"/>
        </w:rPr>
        <w:t>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№44-ФЗ установлено, что описание объекта закупки в соответствии с требованиями, указанными в части </w:t>
      </w:r>
      <w:r>
        <w:rPr>
          <w:rStyle w:val="CharStyle15"/>
          <w:lang w:val="en-US" w:eastAsia="en-US"/>
        </w:rPr>
        <w:t xml:space="preserve">1 </w:t>
      </w:r>
      <w:r>
        <w:rPr>
          <w:rStyle w:val="CharStyle15"/>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540"/>
        <w:jc w:val="both"/>
      </w:pPr>
      <w:r>
        <w:rPr>
          <w:rStyle w:val="CharStyle15"/>
        </w:rPr>
        <w:t>Описание объекта закупки должно быть сформировано согласно требований Закона №44-ФЗ и быть реально исполнимым. Неопределенность, противоречивость, неполнота, либо неисполнимость положений извещения, в которых содержатся требования к информации которую необходимо указать в заявке может создать препятствия для потенциальных участников закупки на стадии подачи заявок, что, в свою очередь создает препятствия развитию конкуренции.</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Согласно Извещению, закупке подлежат дезинфицирующие средства (позиции Каталога товаров, работ, услуг </w:t>
      </w:r>
      <w:r>
        <w:rPr>
          <w:rStyle w:val="CharStyle15"/>
          <w:lang w:val="en-US" w:eastAsia="en-US"/>
        </w:rPr>
        <w:t>20.20.14.000-00000005, 20.20.14.000-00000007, 20.20.14.000-00000009).</w:t>
      </w:r>
    </w:p>
    <w:p>
      <w:pPr>
        <w:pStyle w:val="Style14"/>
        <w:keepNext w:val="0"/>
        <w:keepLines w:val="0"/>
        <w:widowControl w:val="0"/>
        <w:shd w:val="clear" w:color="auto" w:fill="auto"/>
        <w:bidi w:val="0"/>
        <w:spacing w:before="0" w:after="0" w:line="240" w:lineRule="auto"/>
        <w:ind w:left="0" w:right="0" w:firstLine="540"/>
        <w:jc w:val="both"/>
      </w:pPr>
      <w:r>
        <w:rPr>
          <w:rStyle w:val="CharStyle15"/>
          <w:sz w:val="26"/>
          <w:szCs w:val="26"/>
        </w:rPr>
        <w:t xml:space="preserve">Так например, Заказчик установил требования к характеристикам к химическому составу в позициях </w:t>
      </w:r>
      <w:r>
        <w:rPr>
          <w:rStyle w:val="CharStyle15"/>
          <w:sz w:val="26"/>
          <w:szCs w:val="26"/>
          <w:lang w:val="en-US" w:eastAsia="en-US"/>
        </w:rPr>
        <w:t xml:space="preserve">213747996: </w:t>
      </w:r>
      <w:r>
        <w:rPr>
          <w:rStyle w:val="CharStyle15"/>
        </w:rPr>
        <w:t xml:space="preserve">Состав, изопропиловый спирт </w:t>
      </w:r>
      <w:r>
        <w:rPr>
          <w:rStyle w:val="CharStyle15"/>
          <w:lang w:val="en-US" w:eastAsia="en-US"/>
        </w:rPr>
        <w:t xml:space="preserve">≥ 60 </w:t>
      </w:r>
      <w:r>
        <w:rPr>
          <w:rStyle w:val="CharStyle15"/>
        </w:rPr>
        <w:t xml:space="preserve">Процент; В качестве действующих веществ содержит 2-феноксиэтанол, процент </w:t>
      </w:r>
      <w:r>
        <w:rPr>
          <w:rStyle w:val="CharStyle15"/>
          <w:lang w:val="en-US" w:eastAsia="en-US"/>
        </w:rPr>
        <w:t xml:space="preserve">≤ 0.05 </w:t>
      </w:r>
      <w:r>
        <w:rPr>
          <w:rStyle w:val="CharStyle15"/>
        </w:rPr>
        <w:t xml:space="preserve">Процент; Допустимо в составе наличие ЧАС, процент </w:t>
      </w:r>
      <w:r>
        <w:rPr>
          <w:rStyle w:val="CharStyle15"/>
          <w:lang w:val="en-US" w:eastAsia="en-US"/>
        </w:rPr>
        <w:t xml:space="preserve">≤ 0.18 </w:t>
      </w:r>
      <w:r>
        <w:rPr>
          <w:rStyle w:val="CharStyle15"/>
        </w:rPr>
        <w:t>Процент.</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В позиции </w:t>
      </w:r>
      <w:r>
        <w:rPr>
          <w:rStyle w:val="CharStyle15"/>
          <w:sz w:val="26"/>
          <w:szCs w:val="26"/>
          <w:lang w:val="en-US" w:eastAsia="en-US"/>
        </w:rPr>
        <w:t>213747997</w:t>
      </w:r>
      <w:r>
        <w:rPr>
          <w:rStyle w:val="CharStyle15"/>
          <w:lang w:val="en-US" w:eastAsia="en-US"/>
        </w:rPr>
        <w:t xml:space="preserve">: </w:t>
      </w:r>
      <w:r>
        <w:rPr>
          <w:rStyle w:val="CharStyle15"/>
        </w:rPr>
        <w:t xml:space="preserve">Состав, изопропиловый спирт </w:t>
      </w:r>
      <w:r>
        <w:rPr>
          <w:rStyle w:val="CharStyle15"/>
          <w:lang w:val="en-US" w:eastAsia="en-US"/>
        </w:rPr>
        <w:t xml:space="preserve">≥ 60 </w:t>
      </w:r>
      <w:r>
        <w:rPr>
          <w:rStyle w:val="CharStyle15"/>
        </w:rPr>
        <w:t xml:space="preserve">Процент; В качестве действующих веществ содержит 2-феноксиэтанол, процент </w:t>
      </w:r>
      <w:r>
        <w:rPr>
          <w:rStyle w:val="CharStyle15"/>
          <w:lang w:val="en-US" w:eastAsia="en-US"/>
        </w:rPr>
        <w:t xml:space="preserve">≤ 0.01 </w:t>
      </w:r>
      <w:r>
        <w:rPr>
          <w:rStyle w:val="CharStyle15"/>
        </w:rPr>
        <w:t xml:space="preserve">Процент; Допустимо в составе наличие ЧАС, процент </w:t>
      </w:r>
      <w:r>
        <w:rPr>
          <w:rStyle w:val="CharStyle15"/>
          <w:lang w:val="en-US" w:eastAsia="en-US"/>
        </w:rPr>
        <w:t xml:space="preserve">≥ 0.15 </w:t>
      </w:r>
      <w:r>
        <w:rPr>
          <w:rStyle w:val="CharStyle15"/>
        </w:rPr>
        <w:t xml:space="preserve">и </w:t>
      </w:r>
      <w:r>
        <w:rPr>
          <w:rStyle w:val="CharStyle15"/>
          <w:lang w:val="en-US" w:eastAsia="en-US"/>
        </w:rPr>
        <w:t xml:space="preserve">≤ 0.18 </w:t>
      </w:r>
      <w:r>
        <w:rPr>
          <w:rStyle w:val="CharStyle15"/>
        </w:rPr>
        <w:t>Процент.</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В позиции </w:t>
      </w:r>
      <w:r>
        <w:rPr>
          <w:rStyle w:val="CharStyle15"/>
          <w:sz w:val="26"/>
          <w:szCs w:val="26"/>
          <w:lang w:val="en-US" w:eastAsia="en-US"/>
        </w:rPr>
        <w:t>213747998</w:t>
      </w:r>
      <w:r>
        <w:rPr>
          <w:rStyle w:val="CharStyle15"/>
          <w:lang w:val="en-US" w:eastAsia="en-US"/>
        </w:rPr>
        <w:t xml:space="preserve">: </w:t>
      </w:r>
      <w:r>
        <w:rPr>
          <w:rStyle w:val="CharStyle15"/>
        </w:rPr>
        <w:t xml:space="preserve">В состав средства входит 5-хлоро-2-(2,4-дихлорофенокси) фенол, процент </w:t>
      </w:r>
      <w:r>
        <w:rPr>
          <w:rStyle w:val="CharStyle15"/>
          <w:lang w:val="en-US" w:eastAsia="en-US"/>
        </w:rPr>
        <w:t xml:space="preserve">≥ 0.2 </w:t>
      </w:r>
      <w:r>
        <w:rPr>
          <w:rStyle w:val="CharStyle15"/>
        </w:rPr>
        <w:t>Процент.</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В позиции </w:t>
      </w:r>
      <w:r>
        <w:rPr>
          <w:rStyle w:val="CharStyle15"/>
          <w:sz w:val="26"/>
          <w:szCs w:val="26"/>
          <w:lang w:val="en-US" w:eastAsia="en-US"/>
        </w:rPr>
        <w:t>213747999</w:t>
      </w:r>
      <w:r>
        <w:rPr>
          <w:rStyle w:val="CharStyle15"/>
          <w:lang w:val="en-US" w:eastAsia="en-US"/>
        </w:rPr>
        <w:t xml:space="preserve">: </w:t>
      </w:r>
      <w:r>
        <w:rPr>
          <w:rStyle w:val="CharStyle15"/>
        </w:rPr>
        <w:t xml:space="preserve">В качестве действующего вещества пропиточный раствор содержит пропиловый спирт, процент </w:t>
      </w:r>
      <w:r>
        <w:rPr>
          <w:rStyle w:val="CharStyle15"/>
          <w:lang w:val="en-US" w:eastAsia="en-US"/>
        </w:rPr>
        <w:t xml:space="preserve">≥ 18 </w:t>
      </w:r>
      <w:r>
        <w:rPr>
          <w:rStyle w:val="CharStyle15"/>
        </w:rPr>
        <w:t xml:space="preserve">и </w:t>
      </w:r>
      <w:r>
        <w:rPr>
          <w:rStyle w:val="CharStyle15"/>
          <w:lang w:val="en-US" w:eastAsia="en-US"/>
        </w:rPr>
        <w:t xml:space="preserve">≤ 20 </w:t>
      </w:r>
      <w:r>
        <w:rPr>
          <w:rStyle w:val="CharStyle15"/>
        </w:rPr>
        <w:t xml:space="preserve">Процент; В качестве действующего вещества содержит ЧАС, процент </w:t>
      </w:r>
      <w:r>
        <w:rPr>
          <w:rStyle w:val="CharStyle15"/>
          <w:lang w:val="en-US" w:eastAsia="en-US"/>
        </w:rPr>
        <w:t xml:space="preserve">≥ 0.3 </w:t>
      </w:r>
      <w:r>
        <w:rPr>
          <w:rStyle w:val="CharStyle15"/>
        </w:rPr>
        <w:t xml:space="preserve">и </w:t>
      </w:r>
      <w:r>
        <w:rPr>
          <w:rStyle w:val="CharStyle15"/>
          <w:lang w:val="en-US" w:eastAsia="en-US"/>
        </w:rPr>
        <w:t xml:space="preserve">≤ 0.4 </w:t>
      </w:r>
      <w:r>
        <w:rPr>
          <w:rStyle w:val="CharStyle15"/>
        </w:rPr>
        <w:t>Процент.</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В позиции </w:t>
      </w:r>
      <w:r>
        <w:rPr>
          <w:rStyle w:val="CharStyle15"/>
          <w:lang w:val="en-US" w:eastAsia="en-US"/>
        </w:rPr>
        <w:t xml:space="preserve">213748000: </w:t>
      </w:r>
      <w:r>
        <w:rPr>
          <w:rStyle w:val="CharStyle15"/>
        </w:rPr>
        <w:t xml:space="preserve">В качестве действующего вещества содержит пероксид водорода, процент </w:t>
      </w:r>
      <w:r>
        <w:rPr>
          <w:rStyle w:val="CharStyle15"/>
          <w:lang w:val="en-US" w:eastAsia="en-US"/>
        </w:rPr>
        <w:t xml:space="preserve">≥ 20 </w:t>
      </w:r>
      <w:r>
        <w:rPr>
          <w:rStyle w:val="CharStyle15"/>
        </w:rPr>
        <w:t>Процент.</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В позиции </w:t>
      </w:r>
      <w:r>
        <w:rPr>
          <w:rStyle w:val="CharStyle15"/>
          <w:lang w:val="en-US" w:eastAsia="en-US"/>
        </w:rPr>
        <w:t xml:space="preserve">213748001: </w:t>
      </w:r>
      <w:r>
        <w:rPr>
          <w:rStyle w:val="CharStyle15"/>
        </w:rPr>
        <w:t xml:space="preserve">В составе средства содержатся ЧАС, процент </w:t>
      </w:r>
      <w:r>
        <w:rPr>
          <w:rStyle w:val="CharStyle15"/>
          <w:lang w:val="en-US" w:eastAsia="en-US"/>
        </w:rPr>
        <w:t xml:space="preserve">≥ 10 </w:t>
      </w:r>
      <w:r>
        <w:rPr>
          <w:rStyle w:val="CharStyle15"/>
        </w:rPr>
        <w:t>Процент.</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В позиции </w:t>
      </w:r>
      <w:r>
        <w:rPr>
          <w:rStyle w:val="CharStyle15"/>
          <w:lang w:val="en-US" w:eastAsia="en-US"/>
        </w:rPr>
        <w:t xml:space="preserve">213748002: </w:t>
      </w:r>
      <w:r>
        <w:rPr>
          <w:rStyle w:val="CharStyle15"/>
        </w:rPr>
        <w:t xml:space="preserve">В качестве действующего вещества содержит натриевая соль дихлоризоциануровой кислоты </w:t>
      </w:r>
      <w:r>
        <w:rPr>
          <w:rStyle w:val="CharStyle15"/>
          <w:lang w:val="en-US" w:eastAsia="en-US"/>
        </w:rPr>
        <w:t xml:space="preserve">≥ 90 </w:t>
      </w:r>
      <w:r>
        <w:rPr>
          <w:rStyle w:val="CharStyle15"/>
        </w:rPr>
        <w:t xml:space="preserve">и </w:t>
      </w:r>
      <w:r>
        <w:rPr>
          <w:rStyle w:val="CharStyle15"/>
          <w:lang w:val="en-US" w:eastAsia="en-US"/>
        </w:rPr>
        <w:t xml:space="preserve">&lt; 100 </w:t>
      </w:r>
      <w:r>
        <w:rPr>
          <w:rStyle w:val="CharStyle15"/>
        </w:rPr>
        <w:t xml:space="preserve">Процент; Содержание активного хлора в </w:t>
      </w:r>
      <w:r>
        <w:rPr>
          <w:rStyle w:val="CharStyle15"/>
          <w:lang w:val="en-US" w:eastAsia="en-US"/>
        </w:rPr>
        <w:t xml:space="preserve">1 </w:t>
      </w:r>
      <w:r>
        <w:rPr>
          <w:rStyle w:val="CharStyle15"/>
        </w:rPr>
        <w:t xml:space="preserve">таблетке, грамм </w:t>
      </w:r>
      <w:r>
        <w:rPr>
          <w:rStyle w:val="CharStyle15"/>
          <w:lang w:val="en-US" w:eastAsia="en-US"/>
        </w:rPr>
        <w:t xml:space="preserve">≥ 1.4 </w:t>
      </w:r>
      <w:r>
        <w:rPr>
          <w:rStyle w:val="CharStyle15"/>
        </w:rPr>
        <w:t>Грамм.</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В позиции </w:t>
      </w:r>
      <w:r>
        <w:rPr>
          <w:rStyle w:val="CharStyle15"/>
          <w:lang w:val="en-US" w:eastAsia="en-US"/>
        </w:rPr>
        <w:t xml:space="preserve">213748003: </w:t>
      </w:r>
      <w:r>
        <w:rPr>
          <w:rStyle w:val="CharStyle15"/>
        </w:rPr>
        <w:t xml:space="preserve">Содержание в составе средства производных аминов, процент </w:t>
      </w:r>
      <w:r>
        <w:rPr>
          <w:rStyle w:val="CharStyle15"/>
          <w:lang w:val="en-US" w:eastAsia="en-US"/>
        </w:rPr>
        <w:t xml:space="preserve">≥ 5 </w:t>
      </w:r>
      <w:r>
        <w:rPr>
          <w:rStyle w:val="CharStyle15"/>
        </w:rPr>
        <w:t xml:space="preserve">и </w:t>
      </w:r>
      <w:r>
        <w:rPr>
          <w:rStyle w:val="CharStyle15"/>
          <w:lang w:val="en-US" w:eastAsia="en-US"/>
        </w:rPr>
        <w:t xml:space="preserve">≤ 7 </w:t>
      </w:r>
      <w:r>
        <w:rPr>
          <w:rStyle w:val="CharStyle15"/>
        </w:rPr>
        <w:t xml:space="preserve">Процент; Содержание в составе средства полигексаметиленгуанидина гидрохлорида, процент </w:t>
      </w:r>
      <w:r>
        <w:rPr>
          <w:rStyle w:val="CharStyle15"/>
          <w:lang w:val="en-US" w:eastAsia="en-US"/>
        </w:rPr>
        <w:t xml:space="preserve">≥ 1.5 </w:t>
      </w:r>
      <w:r>
        <w:rPr>
          <w:rStyle w:val="CharStyle15"/>
        </w:rPr>
        <w:t xml:space="preserve">и </w:t>
      </w:r>
      <w:r>
        <w:rPr>
          <w:rStyle w:val="CharStyle15"/>
          <w:lang w:val="en-US" w:eastAsia="en-US"/>
        </w:rPr>
        <w:t xml:space="preserve">≤ 3 </w:t>
      </w:r>
      <w:r>
        <w:rPr>
          <w:rStyle w:val="CharStyle15"/>
        </w:rPr>
        <w:t>Процент.</w:t>
      </w:r>
    </w:p>
    <w:p>
      <w:pPr>
        <w:pStyle w:val="Style14"/>
        <w:keepNext w:val="0"/>
        <w:keepLines w:val="0"/>
        <w:widowControl w:val="0"/>
        <w:shd w:val="clear" w:color="auto" w:fill="auto"/>
        <w:bidi w:val="0"/>
        <w:spacing w:before="0" w:after="0" w:line="240" w:lineRule="auto"/>
        <w:ind w:left="0" w:right="0" w:firstLine="540"/>
        <w:jc w:val="both"/>
      </w:pPr>
      <w:r>
        <w:rPr>
          <w:rStyle w:val="CharStyle15"/>
        </w:rPr>
        <w:t xml:space="preserve">В позиции </w:t>
      </w:r>
      <w:r>
        <w:rPr>
          <w:rStyle w:val="CharStyle15"/>
          <w:lang w:val="en-US" w:eastAsia="en-US"/>
        </w:rPr>
        <w:t xml:space="preserve">213748004: </w:t>
      </w:r>
      <w:r>
        <w:rPr>
          <w:rStyle w:val="CharStyle15"/>
        </w:rPr>
        <w:t>В рабочем растворе средства после смешивания</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компонентов содержание НУК, процент </w:t>
      </w:r>
      <w:r>
        <w:rPr>
          <w:rStyle w:val="CharStyle15"/>
          <w:lang w:val="en-US" w:eastAsia="en-US"/>
        </w:rPr>
        <w:t xml:space="preserve">≥ 0.2 </w:t>
      </w:r>
      <w:r>
        <w:rPr>
          <w:rStyle w:val="CharStyle15"/>
        </w:rPr>
        <w:t>Процент.</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позиции </w:t>
      </w:r>
      <w:r>
        <w:rPr>
          <w:rStyle w:val="CharStyle15"/>
          <w:lang w:val="en-US" w:eastAsia="en-US"/>
        </w:rPr>
        <w:t xml:space="preserve">213748006: </w:t>
      </w:r>
      <w:r>
        <w:rPr>
          <w:rStyle w:val="CharStyle15"/>
        </w:rPr>
        <w:t xml:space="preserve">В качестве действующего вещества содержит ЧАС, процент </w:t>
      </w:r>
      <w:r>
        <w:rPr>
          <w:rStyle w:val="CharStyle15"/>
          <w:lang w:val="en-US" w:eastAsia="en-US"/>
        </w:rPr>
        <w:t xml:space="preserve">≤ 5 </w:t>
      </w:r>
      <w:r>
        <w:rPr>
          <w:rStyle w:val="CharStyle15"/>
        </w:rPr>
        <w:t xml:space="preserve">Процент; В качестве действующего вещества содержит изопропанола, процент </w:t>
      </w:r>
      <w:r>
        <w:rPr>
          <w:rStyle w:val="CharStyle15"/>
          <w:lang w:val="en-US" w:eastAsia="en-US"/>
        </w:rPr>
        <w:t xml:space="preserve">≤ 2 </w:t>
      </w:r>
      <w:r>
        <w:rPr>
          <w:rStyle w:val="CharStyle15"/>
        </w:rPr>
        <w:t>Процент.</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позиции </w:t>
      </w:r>
      <w:r>
        <w:rPr>
          <w:rStyle w:val="CharStyle15"/>
          <w:lang w:val="en-US" w:eastAsia="en-US"/>
        </w:rPr>
        <w:t xml:space="preserve">213748007: </w:t>
      </w:r>
      <w:r>
        <w:rPr>
          <w:rStyle w:val="CharStyle15"/>
        </w:rPr>
        <w:t xml:space="preserve">В качестве действующего вещества содержит ЧАС, процент </w:t>
      </w:r>
      <w:r>
        <w:rPr>
          <w:rStyle w:val="CharStyle15"/>
          <w:lang w:val="en-US" w:eastAsia="en-US"/>
        </w:rPr>
        <w:t xml:space="preserve">≤ 5 </w:t>
      </w:r>
      <w:r>
        <w:rPr>
          <w:rStyle w:val="CharStyle15"/>
        </w:rPr>
        <w:t xml:space="preserve">Процент; качестве действующего вещества содержит изопропанола, процент </w:t>
      </w:r>
      <w:r>
        <w:rPr>
          <w:rStyle w:val="CharStyle15"/>
          <w:lang w:val="en-US" w:eastAsia="en-US"/>
        </w:rPr>
        <w:t xml:space="preserve">≤ 2 </w:t>
      </w:r>
      <w:r>
        <w:rPr>
          <w:rStyle w:val="CharStyle15"/>
        </w:rPr>
        <w:t>Процент.</w:t>
      </w:r>
    </w:p>
    <w:p>
      <w:pPr>
        <w:pStyle w:val="Style14"/>
        <w:keepNext w:val="0"/>
        <w:keepLines w:val="0"/>
        <w:widowControl w:val="0"/>
        <w:shd w:val="clear" w:color="auto" w:fill="auto"/>
        <w:bidi w:val="0"/>
        <w:spacing w:before="0" w:after="0" w:line="257" w:lineRule="auto"/>
        <w:ind w:left="0" w:right="0" w:firstLine="560"/>
        <w:jc w:val="both"/>
        <w:rPr>
          <w:sz w:val="26"/>
          <w:szCs w:val="26"/>
        </w:rPr>
      </w:pPr>
      <w:r>
        <w:rPr>
          <w:rStyle w:val="CharStyle15"/>
          <w:sz w:val="26"/>
          <w:szCs w:val="26"/>
        </w:rPr>
        <w:t>В структурированном извещении установлено, требование о том, что участник закупки должен указать конкретные характеристики товаров.</w:t>
      </w:r>
    </w:p>
    <w:p>
      <w:pPr>
        <w:pStyle w:val="Style14"/>
        <w:keepNext w:val="0"/>
        <w:keepLines w:val="0"/>
        <w:widowControl w:val="0"/>
        <w:shd w:val="clear" w:color="auto" w:fill="auto"/>
        <w:bidi w:val="0"/>
        <w:spacing w:before="0" w:after="0" w:line="257" w:lineRule="auto"/>
        <w:ind w:left="0" w:right="0" w:firstLine="560"/>
        <w:jc w:val="both"/>
        <w:rPr>
          <w:sz w:val="26"/>
          <w:szCs w:val="26"/>
        </w:rPr>
      </w:pPr>
      <w:r>
        <w:rPr>
          <w:rStyle w:val="CharStyle15"/>
          <w:sz w:val="26"/>
          <w:szCs w:val="26"/>
        </w:rPr>
        <w:t>Установление таких характеристик не позволяет участникам знать их конкретные показатели на этапе формирования заявки, что создает препятствия при заполнении заявки для участия в закупке.</w:t>
      </w:r>
    </w:p>
    <w:p>
      <w:pPr>
        <w:pStyle w:val="Style14"/>
        <w:keepNext w:val="0"/>
        <w:keepLines w:val="0"/>
        <w:widowControl w:val="0"/>
        <w:shd w:val="clear" w:color="auto" w:fill="auto"/>
        <w:bidi w:val="0"/>
        <w:spacing w:before="0" w:after="0" w:line="257" w:lineRule="auto"/>
        <w:ind w:left="0" w:right="0" w:firstLine="560"/>
        <w:jc w:val="both"/>
        <w:rPr>
          <w:sz w:val="26"/>
          <w:szCs w:val="26"/>
        </w:rPr>
      </w:pPr>
      <w:r>
        <w:rPr>
          <w:rStyle w:val="CharStyle15"/>
          <w:sz w:val="26"/>
          <w:szCs w:val="26"/>
        </w:rPr>
        <w:t xml:space="preserve">Указанные выше характеристики приведены в качестве примера. В случае наличия в иных пунктах Извещения аналогичных требований, обязывающих участника указывать конкретные значения химического состава или иные показатели, которые невозможно определить без лабораторных исследований, такие требования также являются нарушением порядка описания объекта закупки, предусмотренного статьей </w:t>
      </w:r>
      <w:r>
        <w:rPr>
          <w:rStyle w:val="CharStyle15"/>
          <w:sz w:val="26"/>
          <w:szCs w:val="26"/>
          <w:lang w:val="en-US" w:eastAsia="en-US"/>
        </w:rPr>
        <w:t xml:space="preserve">33 </w:t>
      </w:r>
      <w:r>
        <w:rPr>
          <w:rStyle w:val="CharStyle15"/>
          <w:sz w:val="26"/>
          <w:szCs w:val="26"/>
        </w:rPr>
        <w:t xml:space="preserve">Закона </w:t>
      </w:r>
      <w:r>
        <w:rPr>
          <w:rStyle w:val="CharStyle15"/>
          <w:sz w:val="26"/>
          <w:szCs w:val="26"/>
          <w:lang w:val="en-US" w:eastAsia="en-US"/>
        </w:rPr>
        <w:t xml:space="preserve">№ </w:t>
      </w:r>
      <w:r>
        <w:rPr>
          <w:rStyle w:val="CharStyle15"/>
          <w:sz w:val="26"/>
          <w:szCs w:val="26"/>
        </w:rPr>
        <w:t>44-ФЗ.</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Кроме того, в соответствии с пунктом </w:t>
      </w:r>
      <w:r>
        <w:rPr>
          <w:rStyle w:val="CharStyle15"/>
          <w:lang w:val="en-US" w:eastAsia="en-US"/>
        </w:rPr>
        <w:t xml:space="preserve">3 </w:t>
      </w:r>
      <w:r>
        <w:rPr>
          <w:rStyle w:val="CharStyle15"/>
        </w:rPr>
        <w:t xml:space="preserve">письма ФАС России от </w:t>
      </w:r>
      <w:r>
        <w:rPr>
          <w:rStyle w:val="CharStyle15"/>
          <w:lang w:val="en-US" w:eastAsia="en-US"/>
        </w:rPr>
        <w:t xml:space="preserve">01.07.2016 № </w:t>
      </w:r>
      <w:r>
        <w:rPr>
          <w:rStyle w:val="CharStyle15"/>
        </w:rPr>
        <w:t xml:space="preserve">ИА/44536/16 «Об установлении заказчиком требований к составу, инструкции по заполнению заявки на участие в закупке» (далее </w:t>
      </w:r>
      <w:r>
        <w:rPr>
          <w:rStyle w:val="CharStyle15"/>
          <w:lang w:val="en-US" w:eastAsia="en-US"/>
        </w:rPr>
        <w:t xml:space="preserve">- </w:t>
      </w:r>
      <w:r>
        <w:rPr>
          <w:rStyle w:val="CharStyle15"/>
        </w:rPr>
        <w:t>Письмо) предусмотрено, что при установлении заказчиком в документации, извещении о закупке требований к описанию участниками закупки товаров следует учесть, что Закон №44-ФЗ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Иные доводы участвующих лиц, приведенные в жалобе и в ходе рассмотрения дела, в письменной либо устной форме, не нашедшие отражения в настоящем решении, не могли повлиять на изложенные выводы в принятом решении и являются необоснованными.</w:t>
      </w:r>
    </w:p>
    <w:p>
      <w:pPr>
        <w:pStyle w:val="Style14"/>
        <w:keepNext w:val="0"/>
        <w:keepLines w:val="0"/>
        <w:widowControl w:val="0"/>
        <w:shd w:val="clear" w:color="auto" w:fill="auto"/>
        <w:bidi w:val="0"/>
        <w:spacing w:before="0" w:after="280" w:line="240" w:lineRule="auto"/>
        <w:ind w:left="0" w:right="0" w:firstLine="500"/>
        <w:jc w:val="both"/>
      </w:pPr>
      <w:r>
        <w:rPr>
          <w:rStyle w:val="CharStyle15"/>
        </w:rPr>
        <w:t xml:space="preserve">Комиссия, руководствуясь статья </w:t>
      </w:r>
      <w:r>
        <w:rPr>
          <w:rStyle w:val="CharStyle15"/>
          <w:lang w:val="en-US" w:eastAsia="en-US"/>
        </w:rPr>
        <w:t xml:space="preserve">99, </w:t>
      </w:r>
      <w:r>
        <w:rPr>
          <w:rStyle w:val="CharStyle15"/>
        </w:rPr>
        <w:t xml:space="preserve">статья </w:t>
      </w:r>
      <w:r>
        <w:rPr>
          <w:rStyle w:val="CharStyle15"/>
          <w:lang w:val="en-US" w:eastAsia="en-US"/>
        </w:rPr>
        <w:t xml:space="preserve">106 </w:t>
      </w:r>
      <w:r>
        <w:rPr>
          <w:rStyle w:val="CharStyle15"/>
        </w:rPr>
        <w:t xml:space="preserve">Закона </w:t>
      </w:r>
      <w:r>
        <w:rPr>
          <w:rStyle w:val="CharStyle15"/>
          <w:lang w:val="en-US" w:eastAsia="en-US"/>
        </w:rPr>
        <w:t xml:space="preserve">№ </w:t>
      </w:r>
      <w:r>
        <w:rPr>
          <w:rStyle w:val="CharStyle15"/>
        </w:rPr>
        <w:t>44-ФЗ,</w:t>
      </w:r>
    </w:p>
    <w:p>
      <w:pPr>
        <w:pStyle w:val="Style14"/>
        <w:keepNext w:val="0"/>
        <w:keepLines w:val="0"/>
        <w:widowControl w:val="0"/>
        <w:shd w:val="clear" w:color="auto" w:fill="auto"/>
        <w:bidi w:val="0"/>
        <w:spacing w:before="0" w:after="280" w:line="240" w:lineRule="auto"/>
        <w:ind w:left="0" w:right="0" w:firstLine="0"/>
        <w:jc w:val="center"/>
      </w:pPr>
      <w:r>
        <w:rPr>
          <w:rStyle w:val="CharStyle15"/>
          <w:b/>
          <w:bCs/>
        </w:rPr>
        <w:t xml:space="preserve">РЕШИЛА </w:t>
      </w:r>
      <w:r>
        <w:rPr>
          <w:rStyle w:val="CharStyle15"/>
          <w:b/>
          <w:bCs/>
          <w:lang w:val="en-US" w:eastAsia="en-US"/>
        </w:rPr>
        <w:t>:</w:t>
      </w:r>
    </w:p>
    <w:p>
      <w:pPr>
        <w:pStyle w:val="Style14"/>
        <w:keepNext w:val="0"/>
        <w:keepLines w:val="0"/>
        <w:widowControl w:val="0"/>
        <w:numPr>
          <w:ilvl w:val="0"/>
          <w:numId w:val="3"/>
        </w:numPr>
        <w:shd w:val="clear" w:color="auto" w:fill="auto"/>
        <w:tabs>
          <w:tab w:pos="893" w:val="left"/>
        </w:tabs>
        <w:bidi w:val="0"/>
        <w:spacing w:before="0" w:after="280" w:line="240" w:lineRule="auto"/>
        <w:ind w:left="0" w:right="0" w:firstLine="560"/>
        <w:jc w:val="both"/>
      </w:pPr>
      <w:r>
        <w:rPr>
          <w:rStyle w:val="CharStyle15"/>
        </w:rPr>
        <w:t xml:space="preserve">Признать жалобу ООО «Юнитор» на действия ГБУЗ СК «Труновская районная больница» </w:t>
      </w:r>
      <w:r>
        <w:rPr>
          <w:rStyle w:val="CharStyle15"/>
          <w:sz w:val="26"/>
          <w:szCs w:val="26"/>
        </w:rPr>
        <w:t xml:space="preserve">по факту осуществления закупки путем проведения запроса котировок в электронной форме </w:t>
      </w:r>
      <w:r>
        <w:rPr>
          <w:rStyle w:val="CharStyle15"/>
          <w:sz w:val="26"/>
          <w:szCs w:val="26"/>
          <w:lang w:val="en-US" w:eastAsia="en-US"/>
        </w:rPr>
        <w:t xml:space="preserve">№ 0321300037626000082 </w:t>
      </w:r>
      <w:r>
        <w:rPr>
          <w:rStyle w:val="CharStyle15"/>
          <w:sz w:val="26"/>
          <w:szCs w:val="26"/>
        </w:rPr>
        <w:t xml:space="preserve">«Закупка дезинфицирующих средств» </w:t>
      </w:r>
      <w:r>
        <w:rPr>
          <w:rStyle w:val="CharStyle15"/>
          <w:lang w:val="en-US" w:eastAsia="en-US"/>
        </w:rPr>
        <w:t xml:space="preserve">- </w:t>
      </w:r>
      <w:r>
        <w:rPr>
          <w:rStyle w:val="CharStyle15"/>
        </w:rPr>
        <w:t>обоснованной в части довода указанного в решении.</w:t>
      </w:r>
      <w:r>
        <w:br w:type="page"/>
      </w:r>
    </w:p>
    <w:p>
      <w:pPr>
        <w:pStyle w:val="Style14"/>
        <w:keepNext w:val="0"/>
        <w:keepLines w:val="0"/>
        <w:widowControl w:val="0"/>
        <w:numPr>
          <w:ilvl w:val="0"/>
          <w:numId w:val="3"/>
        </w:numPr>
        <w:shd w:val="clear" w:color="auto" w:fill="auto"/>
        <w:tabs>
          <w:tab w:pos="893" w:val="left"/>
        </w:tabs>
        <w:bidi w:val="0"/>
        <w:spacing w:before="0" w:after="0" w:line="240" w:lineRule="auto"/>
        <w:ind w:left="0" w:right="0" w:firstLine="520"/>
        <w:jc w:val="both"/>
      </w:pPr>
      <w:r>
        <w:rPr>
          <w:rStyle w:val="CharStyle15"/>
        </w:rPr>
        <w:t xml:space="preserve">По результатам проведения в порядке статьи </w:t>
      </w:r>
      <w:r>
        <w:rPr>
          <w:rStyle w:val="CharStyle15"/>
          <w:lang w:val="en-US" w:eastAsia="en-US"/>
        </w:rPr>
        <w:t xml:space="preserve">99 </w:t>
      </w:r>
      <w:r>
        <w:rPr>
          <w:rStyle w:val="CharStyle15"/>
        </w:rPr>
        <w:t xml:space="preserve">Закона </w:t>
      </w:r>
      <w:r>
        <w:rPr>
          <w:rStyle w:val="CharStyle15"/>
          <w:lang w:val="en-US" w:eastAsia="en-US"/>
        </w:rPr>
        <w:t xml:space="preserve">№ </w:t>
      </w:r>
      <w:r>
        <w:rPr>
          <w:rStyle w:val="CharStyle15"/>
        </w:rPr>
        <w:t xml:space="preserve">44-ФЗ внеплановой проверки признать действия Заказчика </w:t>
      </w:r>
      <w:r>
        <w:rPr>
          <w:rStyle w:val="CharStyle15"/>
          <w:lang w:val="en-US" w:eastAsia="en-US"/>
        </w:rPr>
        <w:t xml:space="preserve">- </w:t>
      </w:r>
      <w:r>
        <w:rPr>
          <w:rStyle w:val="CharStyle15"/>
        </w:rPr>
        <w:t xml:space="preserve">ГБУЗ СК «Труновская районная больница», нарушившими нормы пункта </w:t>
      </w:r>
      <w:r>
        <w:rPr>
          <w:rStyle w:val="CharStyle15"/>
          <w:lang w:val="en-US" w:eastAsia="en-US"/>
        </w:rPr>
        <w:t xml:space="preserve">2 </w:t>
      </w:r>
      <w:r>
        <w:rPr>
          <w:rStyle w:val="CharStyle15"/>
        </w:rPr>
        <w:t xml:space="preserve">частей </w:t>
      </w:r>
      <w:r>
        <w:rPr>
          <w:rStyle w:val="CharStyle15"/>
          <w:lang w:val="en-US" w:eastAsia="en-US"/>
        </w:rPr>
        <w:t xml:space="preserve">1, 2 </w:t>
      </w:r>
      <w:r>
        <w:rPr>
          <w:rStyle w:val="CharStyle15"/>
        </w:rPr>
        <w:t xml:space="preserve">статьи </w:t>
      </w:r>
      <w:r>
        <w:rPr>
          <w:rStyle w:val="CharStyle15"/>
          <w:lang w:val="en-US" w:eastAsia="en-US"/>
        </w:rPr>
        <w:t xml:space="preserve">33 </w:t>
      </w:r>
      <w:r>
        <w:rPr>
          <w:rStyle w:val="CharStyle15"/>
        </w:rPr>
        <w:t>№44-ФЗ, в связи с чем выдать обязательное для исполнения предписание.</w:t>
      </w:r>
    </w:p>
    <w:p>
      <w:pPr>
        <w:pStyle w:val="Style14"/>
        <w:keepNext w:val="0"/>
        <w:keepLines w:val="0"/>
        <w:widowControl w:val="0"/>
        <w:numPr>
          <w:ilvl w:val="0"/>
          <w:numId w:val="3"/>
        </w:numPr>
        <w:shd w:val="clear" w:color="auto" w:fill="auto"/>
        <w:tabs>
          <w:tab w:pos="893" w:val="left"/>
        </w:tabs>
        <w:bidi w:val="0"/>
        <w:spacing w:before="0" w:after="0" w:line="240" w:lineRule="auto"/>
        <w:ind w:left="0" w:right="0" w:firstLine="520"/>
        <w:jc w:val="both"/>
      </w:pPr>
      <w:r>
        <w:rPr>
          <w:rStyle w:val="CharStyle15"/>
        </w:rPr>
        <w:t xml:space="preserve">Передать должностному лицу Управления материалы данного дела для решения вопроса о возбуждении дела об административном правонарушении по части </w:t>
      </w:r>
      <w:r>
        <w:rPr>
          <w:rStyle w:val="CharStyle15"/>
          <w:lang w:val="en-US" w:eastAsia="en-US"/>
        </w:rPr>
        <w:t xml:space="preserve">5 </w:t>
      </w:r>
      <w:r>
        <w:rPr>
          <w:rStyle w:val="CharStyle15"/>
        </w:rPr>
        <w:t xml:space="preserve">статьи </w:t>
      </w:r>
      <w:r>
        <w:rPr>
          <w:rStyle w:val="CharStyle15"/>
          <w:lang w:val="en-US" w:eastAsia="en-US"/>
        </w:rPr>
        <w:t xml:space="preserve">7.30.1 </w:t>
      </w:r>
      <w:r>
        <w:rPr>
          <w:rStyle w:val="CharStyle15"/>
        </w:rPr>
        <w:t xml:space="preserve">Кодекса Российской Федерации об административных правонарушениях от </w:t>
      </w:r>
      <w:r>
        <w:rPr>
          <w:rStyle w:val="CharStyle15"/>
          <w:lang w:val="en-US" w:eastAsia="en-US"/>
        </w:rPr>
        <w:t xml:space="preserve">30.12.2001 № </w:t>
      </w:r>
      <w:r>
        <w:rPr>
          <w:rStyle w:val="CharStyle15"/>
        </w:rPr>
        <w:t>195-ФЗ.</w:t>
      </w:r>
    </w:p>
    <w:p>
      <w:pPr>
        <w:pStyle w:val="Style14"/>
        <w:keepNext w:val="0"/>
        <w:keepLines w:val="0"/>
        <w:widowControl w:val="0"/>
        <w:shd w:val="clear" w:color="auto" w:fill="auto"/>
        <w:bidi w:val="0"/>
        <w:spacing w:before="0" w:after="0" w:line="240" w:lineRule="auto"/>
        <w:ind w:left="0" w:right="0" w:firstLine="520"/>
        <w:jc w:val="both"/>
      </w:pPr>
      <w:r>
        <w:rPr>
          <w:rStyle w:val="CharStyle15"/>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0"/>
          <w:footerReference w:type="default" r:id="rId11"/>
          <w:footnotePr>
            <w:pos w:val="pageBottom"/>
            <w:numFmt w:val="decimal"/>
            <w:numRestart w:val="continuous"/>
          </w:footnotePr>
          <w:pgSz w:w="11900" w:h="16840"/>
          <w:pgMar w:top="1662" w:right="726" w:bottom="1268" w:left="916" w:header="0" w:footer="3" w:gutter="0"/>
          <w:cols w:space="720"/>
          <w:noEndnote/>
          <w:rtlGutter w:val="0"/>
          <w:docGrid w:linePitch="360"/>
        </w:sectPr>
      </w:pPr>
      <w:r>
        <mc:AlternateContent>
          <mc:Choice Requires="wps">
            <w:drawing>
              <wp:anchor distT="508000" distB="203835" distL="0" distR="0" simplePos="0" relativeHeight="125829379" behindDoc="0" locked="0" layoutInCell="1" allowOverlap="1">
                <wp:simplePos x="0" y="0"/>
                <wp:positionH relativeFrom="page">
                  <wp:posOffset>618490</wp:posOffset>
                </wp:positionH>
                <wp:positionV relativeFrom="paragraph">
                  <wp:posOffset>508000</wp:posOffset>
                </wp:positionV>
                <wp:extent cx="1825625" cy="250190"/>
                <wp:wrapTopAndBottom/>
                <wp:docPr id="11" name="Shape 11"/>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48.700000000000003pt;margin-top:40.pt;width:143.75pt;height:19.699999999999999pt;z-index:-125829374;mso-wrap-distance-left:0;mso-wrap-distance-top:40.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596265" distB="0" distL="0" distR="1804670" simplePos="0" relativeHeight="125829381" behindDoc="0" locked="0" layoutInCell="1" allowOverlap="1">
            <wp:simplePos x="0" y="0"/>
            <wp:positionH relativeFrom="page">
              <wp:posOffset>2557145</wp:posOffset>
            </wp:positionH>
            <wp:positionV relativeFrom="paragraph">
              <wp:posOffset>596265</wp:posOffset>
            </wp:positionV>
            <wp:extent cx="316865" cy="36576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2"/>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2953385</wp:posOffset>
                </wp:positionH>
                <wp:positionV relativeFrom="paragraph">
                  <wp:posOffset>666115</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32.55000000000001pt;margin-top:52.450000000000003pt;width:135.59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203835" distL="0" distR="0" simplePos="0" relativeHeight="125829382" behindDoc="0" locked="0" layoutInCell="1" allowOverlap="1">
                <wp:simplePos x="0" y="0"/>
                <wp:positionH relativeFrom="page">
                  <wp:posOffset>6035040</wp:posOffset>
                </wp:positionH>
                <wp:positionV relativeFrom="paragraph">
                  <wp:posOffset>508000</wp:posOffset>
                </wp:positionV>
                <wp:extent cx="1029970" cy="250190"/>
                <wp:wrapTopAndBottom/>
                <wp:docPr id="17" name="Shape 17"/>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Е.А. Соколов</w:t>
                            </w:r>
                          </w:p>
                        </w:txbxContent>
                      </wps:txbx>
                      <wps:bodyPr wrap="none" lIns="0" tIns="0" rIns="0" bIns="0">
                        <a:noAutoFit/>
                      </wps:bodyPr>
                    </wps:wsp>
                  </a:graphicData>
                </a:graphic>
              </wp:anchor>
            </w:drawing>
          </mc:Choice>
          <mc:Fallback>
            <w:pict>
              <v:shape id="_x0000_s1043" type="#_x0000_t202" style="position:absolute;margin-left:475.19999999999999pt;margin-top:40.pt;width:81.100000000000009pt;height:19.699999999999999pt;z-index:-125829371;mso-wrap-distance-left:0;mso-wrap-distance-top:40.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Е.А. Соколов</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w:t>
      </w:r>
      <w:r>
        <w:rPr>
          <w:rStyle w:val="CharStyle3"/>
          <w:rFonts w:ascii="Arial" w:eastAsia="Arial" w:hAnsi="Arial" w:cs="Arial"/>
          <w:color w:val="565656"/>
          <w:sz w:val="12"/>
          <w:szCs w:val="12"/>
        </w:rPr>
        <w:t xml:space="preserve">выдан: </w:t>
      </w:r>
      <w:r>
        <w:rPr>
          <w:rStyle w:val="CharStyle3"/>
          <w:rFonts w:ascii="Arial" w:eastAsia="Arial" w:hAnsi="Arial" w:cs="Arial"/>
          <w:sz w:val="12"/>
          <w:szCs w:val="12"/>
        </w:rPr>
        <w:t>Соколов Евгений Анатольевич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00FA6B784FE</w:t>
      </w:r>
      <w:r>
        <w:rPr>
          <w:rStyle w:val="CharStyle3"/>
          <w:rFonts w:ascii="Arial" w:eastAsia="Arial" w:hAnsi="Arial" w:cs="Arial"/>
          <w:color w:val="292929"/>
          <w:sz w:val="12"/>
          <w:szCs w:val="12"/>
        </w:rPr>
        <w:t>1</w:t>
      </w:r>
      <w:r>
        <w:rPr>
          <w:rStyle w:val="CharStyle3"/>
          <w:rFonts w:ascii="Arial" w:eastAsia="Arial" w:hAnsi="Arial" w:cs="Arial"/>
          <w:color w:val="424242"/>
          <w:sz w:val="12"/>
          <w:szCs w:val="12"/>
          <w:lang w:val="en-US" w:eastAsia="en-US"/>
        </w:rPr>
        <w:t>99EF6925BAD25</w:t>
      </w:r>
      <w:r>
        <w:rPr>
          <w:rStyle w:val="CharStyle3"/>
          <w:rFonts w:ascii="Arial" w:eastAsia="Arial" w:hAnsi="Arial" w:cs="Arial"/>
          <w:color w:val="292929"/>
          <w:sz w:val="12"/>
          <w:szCs w:val="12"/>
        </w:rPr>
        <w:t>1</w:t>
      </w:r>
      <w:r>
        <w:rPr>
          <w:rStyle w:val="CharStyle3"/>
          <w:rFonts w:ascii="Arial" w:eastAsia="Arial" w:hAnsi="Arial" w:cs="Arial"/>
          <w:color w:val="565656"/>
          <w:sz w:val="12"/>
          <w:szCs w:val="12"/>
        </w:rPr>
        <w:t>7В93ЕВ06</w:t>
      </w:r>
    </w:p>
    <w:p>
      <w:pPr>
        <w:pStyle w:val="Style2"/>
        <w:keepNext w:val="0"/>
        <w:keepLines w:val="0"/>
        <w:widowControl w:val="0"/>
        <w:shd w:val="clear" w:color="auto" w:fill="auto"/>
        <w:bidi w:val="0"/>
        <w:spacing w:before="0" w:after="280" w:line="240" w:lineRule="auto"/>
        <w:ind w:left="3100" w:right="0" w:firstLine="0"/>
        <w:jc w:val="left"/>
        <w:rPr>
          <w:sz w:val="12"/>
          <w:szCs w:val="12"/>
        </w:rPr>
      </w:pPr>
      <w:r>
        <w:rPr>
          <w:rStyle w:val="CharStyle3"/>
          <w:rFonts w:ascii="Arial" w:eastAsia="Arial" w:hAnsi="Arial" w:cs="Arial"/>
          <w:color w:val="424242"/>
          <w:sz w:val="12"/>
          <w:szCs w:val="12"/>
        </w:rPr>
        <w:t xml:space="preserve">Действителен с 12.03.2026 </w:t>
      </w:r>
      <w:r>
        <w:rPr>
          <w:rStyle w:val="CharStyle3"/>
          <w:rFonts w:ascii="Arial" w:eastAsia="Arial" w:hAnsi="Arial" w:cs="Arial"/>
          <w:color w:val="565656"/>
          <w:sz w:val="12"/>
          <w:szCs w:val="12"/>
        </w:rPr>
        <w:t>по 05.06.2027</w:t>
      </w:r>
    </w:p>
    <w:p>
      <w:pPr>
        <w:pStyle w:val="Style14"/>
        <w:keepNext w:val="0"/>
        <w:keepLines w:val="0"/>
        <w:widowControl w:val="0"/>
        <w:shd w:val="clear" w:color="auto" w:fill="auto"/>
        <w:bidi w:val="0"/>
        <w:spacing w:before="0" w:after="80" w:line="240" w:lineRule="auto"/>
        <w:ind w:left="0" w:right="0" w:firstLine="0"/>
        <w:jc w:val="left"/>
      </w:pPr>
      <w:r>
        <w:rPr>
          <w:rStyle w:val="CharStyle15"/>
        </w:rPr>
        <w:t>Члены комиссии</w:t>
      </w:r>
    </w:p>
    <w:p>
      <w:pPr>
        <w:pStyle w:val="Style14"/>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2532380</wp:posOffset>
            </wp:positionH>
            <wp:positionV relativeFrom="paragraph">
              <wp:posOffset>63500</wp:posOffset>
            </wp:positionV>
            <wp:extent cx="359410" cy="52451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4"/>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2992755</wp:posOffset>
                </wp:positionH>
                <wp:positionV relativeFrom="paragraph">
                  <wp:posOffset>468630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35.65000000000001pt;margin-top:36.899999999999999pt;width:101.05pt;height:7.90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2952750</wp:posOffset>
                </wp:positionH>
                <wp:positionV relativeFrom="paragraph">
                  <wp:posOffset>151765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32.5pt;margin-top:11.950000000000001pt;width:135.59999999999999pt;height:20.40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И.А. Темерханов</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Темерханов Игорь Александрович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388EE7D0F35592C0847EFC42C757DAD4</w:t>
      </w:r>
    </w:p>
    <w:p>
      <w:pPr>
        <w:pStyle w:val="Style2"/>
        <w:keepNext w:val="0"/>
        <w:keepLines w:val="0"/>
        <w:widowControl w:val="0"/>
        <w:shd w:val="clear" w:color="auto" w:fill="auto"/>
        <w:bidi w:val="0"/>
        <w:spacing w:before="0" w:after="280" w:line="240" w:lineRule="auto"/>
        <w:ind w:left="3100" w:right="0" w:firstLine="0"/>
        <w:jc w:val="left"/>
        <w:rPr>
          <w:sz w:val="12"/>
          <w:szCs w:val="12"/>
        </w:rPr>
      </w:pPr>
      <w:r>
        <w:rPr>
          <w:rStyle w:val="CharStyle3"/>
          <w:rFonts w:ascii="Arial" w:eastAsia="Arial" w:hAnsi="Arial" w:cs="Arial"/>
          <w:color w:val="424242"/>
          <w:sz w:val="12"/>
          <w:szCs w:val="12"/>
        </w:rPr>
        <w:t>Действителен с 06.1</w:t>
      </w:r>
      <w:r>
        <w:rPr>
          <w:rStyle w:val="CharStyle3"/>
          <w:rFonts w:ascii="Arial" w:eastAsia="Arial" w:hAnsi="Arial" w:cs="Arial"/>
          <w:color w:val="292929"/>
          <w:sz w:val="12"/>
          <w:szCs w:val="12"/>
        </w:rPr>
        <w:t>1</w:t>
      </w:r>
      <w:r>
        <w:rPr>
          <w:rStyle w:val="CharStyle3"/>
          <w:rFonts w:ascii="Arial" w:eastAsia="Arial" w:hAnsi="Arial" w:cs="Arial"/>
          <w:color w:val="565656"/>
          <w:sz w:val="12"/>
          <w:szCs w:val="12"/>
        </w:rPr>
        <w:t xml:space="preserve">.2025 по </w:t>
      </w:r>
      <w:r>
        <w:rPr>
          <w:rStyle w:val="CharStyle3"/>
          <w:rFonts w:ascii="Arial" w:eastAsia="Arial" w:hAnsi="Arial" w:cs="Arial"/>
          <w:color w:val="292929"/>
          <w:sz w:val="12"/>
          <w:szCs w:val="12"/>
        </w:rPr>
        <w:t>30.01</w:t>
      </w:r>
      <w:r>
        <w:rPr>
          <w:rStyle w:val="CharStyle3"/>
          <w:rFonts w:ascii="Arial" w:eastAsia="Arial" w:hAnsi="Arial" w:cs="Arial"/>
          <w:color w:val="424242"/>
          <w:sz w:val="12"/>
          <w:szCs w:val="12"/>
        </w:rPr>
        <w:t>.2027</w:t>
      </w:r>
    </w:p>
    <w:p>
      <w:pPr>
        <w:pStyle w:val="Style14"/>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2532380</wp:posOffset>
            </wp:positionH>
            <wp:positionV relativeFrom="paragraph">
              <wp:posOffset>63500</wp:posOffset>
            </wp:positionV>
            <wp:extent cx="359410" cy="5181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6"/>
                    <a:stretch/>
                  </pic:blipFill>
                  <pic:spPr>
                    <a:xfrm>
                      <a:ext cx="359410" cy="5181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2992755</wp:posOffset>
                </wp:positionH>
                <wp:positionV relativeFrom="paragraph">
                  <wp:posOffset>466090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35.65000000000001pt;margin-top:36.700000000000003pt;width:101.05pt;height:7.90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2952750</wp:posOffset>
                </wp:positionH>
                <wp:positionV relativeFrom="paragraph">
                  <wp:posOffset>148590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32.5pt;margin-top:11.700000000000001pt;width:135.59999999999999pt;height:20.40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А.З. Дзыба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Дзыба Айна Зауровна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008F955CBE98550923805A1D54A0B8306C</w:t>
      </w:r>
    </w:p>
    <w:p>
      <w:pPr>
        <w:pStyle w:val="Style2"/>
        <w:keepNext w:val="0"/>
        <w:keepLines w:val="0"/>
        <w:widowControl w:val="0"/>
        <w:shd w:val="clear" w:color="auto" w:fill="auto"/>
        <w:bidi w:val="0"/>
        <w:spacing w:before="0" w:after="3820" w:line="240" w:lineRule="auto"/>
        <w:ind w:left="3100" w:right="0" w:firstLine="0"/>
        <w:jc w:val="left"/>
        <w:rPr>
          <w:sz w:val="12"/>
          <w:szCs w:val="12"/>
        </w:rPr>
      </w:pPr>
      <w:r>
        <w:rPr>
          <w:rStyle w:val="CharStyle3"/>
          <w:rFonts w:ascii="Arial" w:eastAsia="Arial" w:hAnsi="Arial" w:cs="Arial"/>
          <w:color w:val="424242"/>
          <w:sz w:val="12"/>
          <w:szCs w:val="12"/>
        </w:rPr>
        <w:t xml:space="preserve">Действителен с 12.11.2025 </w:t>
      </w:r>
      <w:r>
        <w:rPr>
          <w:rStyle w:val="CharStyle3"/>
          <w:rFonts w:ascii="Arial" w:eastAsia="Arial" w:hAnsi="Arial" w:cs="Arial"/>
          <w:color w:val="565656"/>
          <w:sz w:val="12"/>
          <w:szCs w:val="12"/>
        </w:rPr>
        <w:t xml:space="preserve">по </w:t>
      </w:r>
      <w:r>
        <w:rPr>
          <w:rStyle w:val="CharStyle3"/>
          <w:rFonts w:ascii="Arial" w:eastAsia="Arial" w:hAnsi="Arial" w:cs="Arial"/>
          <w:color w:val="424242"/>
          <w:sz w:val="12"/>
          <w:szCs w:val="12"/>
        </w:rPr>
        <w:t>05.02.2027</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Исп.Дзыба А.З.</w:t>
      </w:r>
    </w:p>
    <w:p>
      <w:pPr>
        <w:pStyle w:val="Style2"/>
        <w:keepNext w:val="0"/>
        <w:keepLines w:val="0"/>
        <w:widowControl w:val="0"/>
        <w:shd w:val="clear" w:color="auto" w:fill="auto"/>
        <w:bidi w:val="0"/>
        <w:spacing w:before="0" w:after="80" w:line="240" w:lineRule="auto"/>
        <w:ind w:left="0" w:right="0" w:firstLine="0"/>
        <w:jc w:val="left"/>
        <w:rPr>
          <w:sz w:val="22"/>
          <w:szCs w:val="22"/>
        </w:rPr>
      </w:pPr>
      <w:r>
        <w:rPr>
          <w:rStyle w:val="CharStyle3"/>
          <w:sz w:val="22"/>
          <w:szCs w:val="22"/>
        </w:rPr>
        <w:t>тел.тел.(8652) 25-74-05,вн.555 +7 (499) 755-23-23, доб. 026-555</w:t>
      </w:r>
    </w:p>
    <w:sectPr>
      <w:footnotePr>
        <w:pos w:val="pageBottom"/>
        <w:numFmt w:val="decimal"/>
        <w:numRestart w:val="continuous"/>
      </w:footnotePr>
      <w:type w:val="continuous"/>
      <w:pgSz w:w="11900" w:h="16840"/>
      <w:pgMar w:top="1666" w:right="536" w:bottom="128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9851390</wp:posOffset>
              </wp:positionV>
              <wp:extent cx="658495" cy="109855"/>
              <wp:wrapNone/>
              <wp:docPr id="1" name="Shape 1"/>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2026-5819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75.70000000000005pt;width:51.85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2026-5819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603250</wp:posOffset>
              </wp:positionH>
              <wp:positionV relativeFrom="page">
                <wp:posOffset>10010140</wp:posOffset>
              </wp:positionV>
              <wp:extent cx="658495" cy="109855"/>
              <wp:wrapNone/>
              <wp:docPr id="9" name="Shape 9"/>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2026-5819</w:t>
                          </w:r>
                        </w:p>
                      </w:txbxContent>
                    </wps:txbx>
                    <wps:bodyPr wrap="none" lIns="0" tIns="0" rIns="0" bIns="0">
                      <a:spAutoFit/>
                    </wps:bodyPr>
                  </wps:wsp>
                </a:graphicData>
              </a:graphic>
            </wp:anchor>
          </w:drawing>
        </mc:Choice>
        <mc:Fallback>
          <w:pict>
            <v:shape id="_x0000_s1035" type="#_x0000_t202" style="position:absolute;margin-left:47.5pt;margin-top:788.20000000000005pt;width:51.850000000000001pt;height:8.65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2026-5819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3568065</wp:posOffset>
              </wp:positionH>
              <wp:positionV relativeFrom="page">
                <wp:posOffset>756285</wp:posOffset>
              </wp:positionV>
              <wp:extent cx="33655" cy="106680"/>
              <wp:wrapNone/>
              <wp:docPr id="5" name="Shape 5"/>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 id="_x0000_s1031" type="#_x0000_t202" style="position:absolute;margin-left:280.94999999999999pt;margin-top:59.550000000000004pt;width:2.6499999999999999pt;height:8.4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3803650</wp:posOffset>
              </wp:positionH>
              <wp:positionV relativeFrom="page">
                <wp:posOffset>793115</wp:posOffset>
              </wp:positionV>
              <wp:extent cx="69850" cy="67310"/>
              <wp:wrapNone/>
              <wp:docPr id="7" name="Shape 7"/>
              <a:graphic xmlns:a="http://schemas.openxmlformats.org/drawingml/2006/main">
                <a:graphicData uri="http://schemas.microsoft.com/office/word/2010/wordprocessingShape">
                  <wps:wsp>
                    <wps:cNvSpPr txBox="1"/>
                    <wps:spPr>
                      <a:xfrm>
                        <a:ext cx="69850" cy="673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299.5pt;margin-top:62.450000000000003pt;width:5.5pt;height:5.2999999999999998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Heading #1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292929"/>
      <w:sz w:val="11"/>
      <w:szCs w:val="11"/>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Heading #1"/>
    <w:basedOn w:val="Normal"/>
    <w:link w:val="CharStyle12"/>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1.png" TargetMode="Externa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image" Target="media/image2.jpeg"/><Relationship Id="rId13" Type="http://schemas.openxmlformats.org/officeDocument/2006/relationships/image" Target="media/image2.jpeg" TargetMode="Externa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image" Target="media/image4.jpeg"/><Relationship Id="rId17" Type="http://schemas.openxmlformats.org/officeDocument/2006/relationships/image" Target="media/image4.jpeg" TargetMode="External"/></Relationships>
</file>