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197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7"/>
          <w:sz w:val="19"/>
          <w:szCs w:val="19"/>
        </w:rPr>
        <w:t>УПРАВЛЕНИЕ</w:t>
        <w:br/>
        <w:t>Федеральной антимонопольной службы</w:t>
        <w:br/>
        <w:t>по Камчатскому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7"/>
          <w:sz w:val="16"/>
          <w:szCs w:val="16"/>
        </w:rPr>
        <w:t>пр-т Карла Маркса, д. 29/2,</w:t>
        <w:br/>
        <w:t>Петропавловск-Камчатский, 683031</w:t>
        <w:br/>
        <w:t xml:space="preserve">тел. </w:t>
      </w:r>
      <w:r>
        <w:rPr>
          <w:rStyle w:val="CharStyle3"/>
          <w:color w:val="737B8C"/>
          <w:sz w:val="16"/>
          <w:szCs w:val="16"/>
        </w:rPr>
        <w:t xml:space="preserve">/ </w:t>
      </w:r>
      <w:r>
        <w:rPr>
          <w:rStyle w:val="CharStyle3"/>
          <w:color w:val="476197"/>
          <w:sz w:val="16"/>
          <w:szCs w:val="16"/>
        </w:rPr>
        <w:t>факс (499) 755-23-23 доб. 041-100</w:t>
        <w:br/>
      </w:r>
      <w:r>
        <w:rPr>
          <w:rStyle w:val="CharStyle3"/>
          <w:color w:val="476197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"mailto:to41@fas.gov.ru" </w:instrText>
      </w:r>
      <w:r>
        <w:fldChar w:fldCharType="separate"/>
      </w:r>
      <w:r>
        <w:rPr>
          <w:rStyle w:val="CharStyle3"/>
          <w:color w:val="476197"/>
          <w:sz w:val="16"/>
          <w:szCs w:val="16"/>
          <w:lang w:val="en-US" w:eastAsia="en-US"/>
        </w:rPr>
        <w:t>to41@fas.gov.ru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</w:rPr>
        <w:t>5.05.2026</w:t>
      </w:r>
      <w:r>
        <w:rPr>
          <w:rStyle w:val="CharStyle12"/>
          <w:u w:val="none"/>
        </w:rPr>
        <w:tab/>
      </w:r>
      <w:r>
        <w:fldChar w:fldCharType="end"/>
      </w:r>
      <w:r>
        <w:rPr>
          <w:rStyle w:val="CharStyle12"/>
          <w:u w:val="none"/>
        </w:rPr>
        <w:t xml:space="preserve">№ </w:t>
      </w:r>
      <w:r>
        <w:rPr>
          <w:rStyle w:val="CharStyle12"/>
        </w:rPr>
        <w:t>ЕФ/1537/2</w:t>
      </w:r>
      <w:r>
        <w:rPr>
          <w:rStyle w:val="CharStyle12"/>
          <w:u w:val="none"/>
        </w:rPr>
        <w:t>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76197"/>
          <w:sz w:val="18"/>
          <w:szCs w:val="18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u w:val="single"/>
        </w:rPr>
        <w:t>Заявитель: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6"/>
        </w:rPr>
        <w:t>ООО «Сфера+»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u w:val="single"/>
        </w:rPr>
        <w:t>Заказчик: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ГБУЗ «Камчатский краевой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369" w:right="1559" w:bottom="1198" w:left="1135" w:header="0" w:footer="3" w:gutter="0"/>
          <w:pgNumType w:start="1"/>
          <w:cols w:num="2" w:space="1016"/>
          <w:noEndnote/>
          <w:titlePg/>
          <w:rtlGutter w:val="0"/>
          <w:docGrid w:linePitch="360"/>
        </w:sectPr>
      </w:pPr>
      <w:r>
        <w:rPr>
          <w:rStyle w:val="CharStyle16"/>
        </w:rPr>
        <w:t>противотуберкулезный диспансер»</w:t>
      </w:r>
    </w:p>
    <w:p>
      <w:pPr>
        <w:widowControl w:val="0"/>
        <w:spacing w:before="100" w:after="10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9" w:right="0" w:bottom="122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6"/>
          <w:sz w:val="24"/>
          <w:szCs w:val="24"/>
        </w:rPr>
        <w:t>О результатах рассмотрения жалобы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rStyle w:val="CharStyle20"/>
          <w:b/>
          <w:bCs/>
        </w:rPr>
        <w:t>РЕШЕНИЕ</w:t>
      </w:r>
      <w:bookmarkEnd w:id="2"/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bookmarkStart w:id="4" w:name="bookmark4"/>
      <w:r>
        <w:rPr>
          <w:rStyle w:val="CharStyle20"/>
          <w:b/>
          <w:bCs/>
        </w:rPr>
        <w:t>по делу № 041/06/105-354/2026</w:t>
        <w:br/>
        <w:t>о нарушении законодательства Российской Федерации</w:t>
        <w:br/>
        <w:t>о контрактной системе в сфере закупок</w:t>
      </w:r>
      <w:bookmarkEnd w:id="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34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990600" cy="23495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060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20 мая 2026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1.pt;width:78.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20 мая 2026 г.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6"/>
        </w:rPr>
        <w:t>г. Петропавловск-Камчатский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6"/>
        </w:rPr>
        <w:t>Комиссия Управления Федеральной антимонопольной службы по Камчатскому краю (далее – Камчатское УФАС России) по контролю в сфере закупок и рассмотрению жалоб в порядке, предусмотренном статьей 18.1 Федерального закона от 26.07.2006 № 135- ФЗ «О защите конкуренции» (далее –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председателя Комиссии – руководителя Камчатского УФАС России Фисенко Е.В., членов Комиссии: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главного государственного инспектора отдела контроля закупок Шихановой Л.Б.,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главного специалиста-эксперта отдела контроля закупок Ковалевой С.А., при участии: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представителя заказчика – государственного бюджетного учреждения здравоохранения «Камчатский краевой противотуберкулезный диспансер» (далее – Заказчик) Тарасика Э.П. (по доверенности от 06.05.2026 № 18/05/2026),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представителя заявителя – общества с ограниченной ответственностью «Сфера+» (далее – Заявитель) Бородина Г.С. (генеральный директор, приказ о назначении),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rStyle w:val="CharStyle16"/>
        </w:rPr>
        <w:t>рассмотрев посредством видеоконференцсвязи жалобу Заявителя на действия Заказчика при определении исполнителя путем электронного аукциона на поставку источника бесперебойного питания для компьютерного томографа с выполнением монтажных и пусконаладочных работ (закупка № 0338200009726000075).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6" w:name="bookmark6"/>
      <w:r>
        <w:rPr>
          <w:rStyle w:val="CharStyle22"/>
        </w:rPr>
        <w:t>IIIIIIIIIIIIIIIIIIIIIII</w:t>
      </w:r>
      <w:bookmarkEnd w:id="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28" w:lineRule="auto"/>
        <w:ind w:left="0" w:right="0" w:firstLine="0"/>
        <w:jc w:val="both"/>
      </w:pPr>
      <w:r>
        <w:rPr>
          <w:rStyle w:val="CharStyle16"/>
        </w:rPr>
        <w:t xml:space="preserve">и в результате осуществления внеплановой проверки 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05.04.2013 № </w:t>
      </w:r>
      <w:r>
        <w:rPr>
          <w:rStyle w:val="CharStyle16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Закон о контрактной системе)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260" w:line="240" w:lineRule="auto"/>
        <w:ind w:left="3560" w:right="0" w:firstLine="0"/>
        <w:jc w:val="both"/>
      </w:pPr>
      <w:bookmarkStart w:id="8" w:name="bookmark8"/>
      <w:r>
        <w:rPr>
          <w:rStyle w:val="CharStyle20"/>
          <w:b/>
          <w:bCs/>
        </w:rPr>
        <w:t>УСТАНОВИЛА</w:t>
      </w:r>
      <w:r>
        <w:rPr>
          <w:rStyle w:val="CharStyle20"/>
        </w:rPr>
        <w:t>:</w:t>
      </w:r>
      <w:bookmarkEnd w:id="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Заказчиком проводилась процедура определения поставщика путем электронного аукциона на поставку источника бесперебойного питания для компьютерного томографа с выполнением монтажных и пусконаладочных работ (закупка </w:t>
      </w:r>
      <w:r>
        <w:rPr>
          <w:rStyle w:val="CharStyle16"/>
          <w:lang w:val="en-US" w:eastAsia="en-US"/>
        </w:rPr>
        <w:t xml:space="preserve">№ 0338200009726000075) </w:t>
      </w:r>
      <w:r>
        <w:rPr>
          <w:rStyle w:val="CharStyle16"/>
        </w:rPr>
        <w:t xml:space="preserve">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Закупка).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Извещение о Закупке размещено в единой информационной системе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ЕИС) </w:t>
      </w:r>
      <w:r>
        <w:rPr>
          <w:rStyle w:val="CharStyle16"/>
          <w:lang w:val="en-US" w:eastAsia="en-US"/>
        </w:rPr>
        <w:t>07.05.2026.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both"/>
      </w:pPr>
      <w:r>
        <w:rPr>
          <w:rStyle w:val="CharStyle16"/>
        </w:rPr>
        <w:t xml:space="preserve">Начальная (максимальная) цена контракта установлена в размере </w:t>
      </w:r>
      <w:r>
        <w:rPr>
          <w:rStyle w:val="CharStyle16"/>
          <w:lang w:val="en-US" w:eastAsia="en-US"/>
        </w:rPr>
        <w:t xml:space="preserve">7 143 333,33 </w:t>
      </w:r>
      <w:r>
        <w:rPr>
          <w:rStyle w:val="CharStyle16"/>
        </w:rPr>
        <w:t>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  <w:lang w:val="en-US" w:eastAsia="en-US"/>
        </w:rPr>
        <w:t xml:space="preserve">14.05.2026 </w:t>
      </w:r>
      <w:r>
        <w:rPr>
          <w:rStyle w:val="CharStyle16"/>
        </w:rPr>
        <w:t>в Камчатское УФАС России поступила жалоба Заявителя. В жалобе указывает, что Заказчиком не использован КТРУ, соответствующий предмету закупки, обоснование применения характеристик, отсутствующих в КТРУ не указано; указанные в Техническом задании сочетание характеристик аккумуляторных батарей избыточно и указывает на конкретного иностранного производителя и конкретную модель аккумуляторных батарей; отсутствует декларация факта отсутствия закупаемого товара в реестре российской промышленной продукции.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both"/>
      </w:pPr>
      <w:r>
        <w:rPr>
          <w:rStyle w:val="CharStyle16"/>
        </w:rPr>
        <w:t xml:space="preserve">В дополнениях к жалобе от </w:t>
      </w:r>
      <w:r>
        <w:rPr>
          <w:rStyle w:val="CharStyle16"/>
          <w:lang w:val="en-US" w:eastAsia="en-US"/>
        </w:rPr>
        <w:t xml:space="preserve">20.05.2026 </w:t>
      </w:r>
      <w:r>
        <w:rPr>
          <w:rStyle w:val="CharStyle16"/>
        </w:rPr>
        <w:t xml:space="preserve">Заявитель указал, что Заказчиком должно было быть установлено ограничение в соответствии с Постановлением </w:t>
      </w:r>
      <w:r>
        <w:rPr>
          <w:rStyle w:val="CharStyle16"/>
          <w:lang w:val="en-US" w:eastAsia="en-US"/>
        </w:rPr>
        <w:t>№ 1875.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В возражениях на жалобу от </w:t>
      </w:r>
      <w:r>
        <w:rPr>
          <w:rStyle w:val="CharStyle16"/>
          <w:lang w:val="en-US" w:eastAsia="en-US"/>
        </w:rPr>
        <w:t xml:space="preserve">20.05.2026 № 366 </w:t>
      </w:r>
      <w:r>
        <w:rPr>
          <w:rStyle w:val="CharStyle16"/>
        </w:rPr>
        <w:t>Заказчик пояснил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По мнению заявителя описание объекта закупки без использования обязательных позиций КТРУ нарушает требования Федерального закона от </w:t>
      </w:r>
      <w:r>
        <w:rPr>
          <w:rStyle w:val="CharStyle16"/>
          <w:lang w:val="en-US" w:eastAsia="en-US"/>
        </w:rPr>
        <w:t xml:space="preserve">05.04.2013 № </w:t>
      </w:r>
      <w:r>
        <w:rPr>
          <w:rStyle w:val="CharStyle16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Закон о контрактной системе), поскольку при описании объекта закупки заказчик не руководствовался действующим каталогом товаров, работ, услуг (КТРУ), а также требования Постановления Правительства РФ от </w:t>
      </w:r>
      <w:r>
        <w:rPr>
          <w:rStyle w:val="CharStyle16"/>
          <w:lang w:val="en-US" w:eastAsia="en-US"/>
        </w:rPr>
        <w:t xml:space="preserve">08.02.2017 № 145 </w:t>
      </w:r>
      <w:r>
        <w:rPr>
          <w:rStyle w:val="CharStyle16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Ошибочность данного довода обоснована выводами, установленными в Определении Верховного суда РФ от </w:t>
      </w:r>
      <w:r>
        <w:rPr>
          <w:rStyle w:val="CharStyle16"/>
          <w:lang w:val="en-US" w:eastAsia="en-US"/>
        </w:rPr>
        <w:t xml:space="preserve">18.09.2023 </w:t>
      </w:r>
      <w:r>
        <w:rPr>
          <w:rStyle w:val="CharStyle16"/>
        </w:rPr>
        <w:t xml:space="preserve">№310-ЭС23-1662 по делу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 xml:space="preserve">А36-4181/2022 согласно которым, в соответствии с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 xml:space="preserve">Закона о контрактной системе, предусмотрено, что в извещении о проведении закупки должны содержаться: наименование объекта закупки, информация (при наличии), предусмотренная правилами использования каталога товаров, работ, услуг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КТРУ) для обеспечения государственных и муниципальных нужд, установленными в соответствии с частью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23 </w:t>
      </w:r>
      <w:r>
        <w:rPr>
          <w:rStyle w:val="CharStyle16"/>
        </w:rPr>
        <w:t>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both"/>
      </w:pPr>
      <w:r>
        <w:rPr>
          <w:rStyle w:val="CharStyle16"/>
        </w:rPr>
        <w:t xml:space="preserve">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08.02.2017 № 145 </w:t>
      </w:r>
      <w:r>
        <w:rPr>
          <w:rStyle w:val="CharStyle16"/>
        </w:rPr>
        <w:t>утверждены Правила использования каталога товаров, работ, услуг для обеспечения государственных и муниципальных нужд.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Правил заказчики обязаны применять информацию, включенную в позицию каталога в соответствии с подпунктами "б"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"г" и "е"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"з" пункта </w:t>
      </w:r>
      <w:r>
        <w:rPr>
          <w:rStyle w:val="CharStyle16"/>
          <w:lang w:val="en-US" w:eastAsia="en-US"/>
        </w:rPr>
        <w:t xml:space="preserve">10 </w:t>
      </w:r>
      <w:r>
        <w:rPr>
          <w:rStyle w:val="CharStyle16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февраля </w:t>
      </w:r>
      <w:r>
        <w:rPr>
          <w:rStyle w:val="CharStyle16"/>
          <w:lang w:val="en-US" w:eastAsia="en-US"/>
        </w:rPr>
        <w:t xml:space="preserve">2017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№ 145 </w:t>
      </w:r>
      <w:r>
        <w:rPr>
          <w:rStyle w:val="CharStyle16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 xml:space="preserve">Правил от </w:t>
      </w:r>
      <w:r>
        <w:rPr>
          <w:rStyle w:val="CharStyle16"/>
          <w:lang w:val="en-US" w:eastAsia="en-US"/>
        </w:rPr>
        <w:t xml:space="preserve">08.02.2017 № 145 </w:t>
      </w:r>
      <w:r>
        <w:rPr>
          <w:rStyle w:val="CharStyle16"/>
        </w:rPr>
        <w:t xml:space="preserve">предусмотрено,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42, </w:t>
      </w: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75 </w:t>
      </w:r>
      <w:r>
        <w:rPr>
          <w:rStyle w:val="CharStyle16"/>
        </w:rPr>
        <w:t>Федерального закона соответственно.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</w:t>
      </w:r>
      <w:r>
        <w:rPr>
          <w:rStyle w:val="CharStyle16"/>
          <w:lang w:val="en-US" w:eastAsia="en-US"/>
        </w:rPr>
        <w:t>034-2014.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Объект закупки электронного аукциона за </w:t>
      </w:r>
      <w:r>
        <w:rPr>
          <w:rStyle w:val="CharStyle16"/>
          <w:lang w:val="en-US" w:eastAsia="en-US"/>
        </w:rPr>
        <w:t xml:space="preserve">№ 0338200009726000075, </w:t>
      </w:r>
      <w:r>
        <w:rPr>
          <w:rStyle w:val="CharStyle16"/>
        </w:rPr>
        <w:t xml:space="preserve">в числе прочего, содержит две принципиально важные для заказчика и обязательные для применения следующие характеристики товара: мощность ИБП </w:t>
      </w:r>
      <w:r>
        <w:rPr>
          <w:rStyle w:val="CharStyle16"/>
          <w:lang w:val="en-US" w:eastAsia="en-US"/>
        </w:rPr>
        <w:t xml:space="preserve">125 </w:t>
      </w:r>
      <w:r>
        <w:rPr>
          <w:rStyle w:val="CharStyle16"/>
        </w:rPr>
        <w:t xml:space="preserve">кВА, и встроенный в корпус ИБП выходной разделительный трансформатором и </w:t>
      </w:r>
      <w:r>
        <w:rPr>
          <w:rStyle w:val="CharStyle16"/>
          <w:lang w:val="en-US" w:eastAsia="en-US"/>
        </w:rPr>
        <w:t xml:space="preserve">IGBT </w:t>
      </w:r>
      <w:r>
        <w:rPr>
          <w:rStyle w:val="CharStyle16"/>
        </w:rPr>
        <w:t>выпрямителем.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Указание точного значения полной мощности в </w:t>
      </w:r>
      <w:r>
        <w:rPr>
          <w:rStyle w:val="CharStyle16"/>
          <w:lang w:val="en-US" w:eastAsia="en-US"/>
        </w:rPr>
        <w:t xml:space="preserve">125 </w:t>
      </w:r>
      <w:r>
        <w:rPr>
          <w:rStyle w:val="CharStyle16"/>
        </w:rPr>
        <w:t xml:space="preserve">кВА обусловлено требованиями эксплуатационной и технической документации производителя установленного у Заказчика медицинского изделия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Компьютерного томографа </w:t>
      </w:r>
      <w:r>
        <w:rPr>
          <w:rStyle w:val="CharStyle16"/>
          <w:lang w:val="en-US" w:eastAsia="en-US"/>
        </w:rPr>
        <w:t xml:space="preserve">Toshiba. </w:t>
      </w:r>
      <w:r>
        <w:rPr>
          <w:rStyle w:val="CharStyle16"/>
        </w:rPr>
        <w:t xml:space="preserve">Согласно техпаспорту КТ (п. </w:t>
      </w:r>
      <w:r>
        <w:rPr>
          <w:rStyle w:val="CharStyle16"/>
          <w:lang w:val="en-US" w:eastAsia="en-US"/>
        </w:rPr>
        <w:t xml:space="preserve">3.2.3.2.2 </w:t>
      </w:r>
      <w:r>
        <w:rPr>
          <w:rStyle w:val="CharStyle16"/>
        </w:rPr>
        <w:t xml:space="preserve">Лист </w:t>
      </w:r>
      <w:r>
        <w:rPr>
          <w:rStyle w:val="CharStyle16"/>
          <w:lang w:val="en-US" w:eastAsia="en-US"/>
        </w:rPr>
        <w:t xml:space="preserve">18 </w:t>
      </w:r>
      <w:r>
        <w:rPr>
          <w:rStyle w:val="CharStyle16"/>
        </w:rPr>
        <w:t xml:space="preserve">технической документации) (приложение </w:t>
      </w:r>
      <w:r>
        <w:rPr>
          <w:rStyle w:val="CharStyle16"/>
          <w:lang w:val="en-US" w:eastAsia="en-US"/>
        </w:rPr>
        <w:t xml:space="preserve">№ 2), </w:t>
      </w:r>
      <w:r>
        <w:rPr>
          <w:rStyle w:val="CharStyle16"/>
        </w:rPr>
        <w:t xml:space="preserve">питающая сеть и параметры системы бесперебойного электроснабжения должны строго соответствовать мощности </w:t>
      </w:r>
      <w:r>
        <w:rPr>
          <w:rStyle w:val="CharStyle16"/>
          <w:lang w:val="en-US" w:eastAsia="en-US"/>
        </w:rPr>
        <w:t xml:space="preserve">125 </w:t>
      </w:r>
      <w:r>
        <w:rPr>
          <w:rStyle w:val="CharStyle16"/>
        </w:rPr>
        <w:t>кВА со встроенным изолирующим трансформатором на выходе инвертора. Любое отклонение от данного параметра (как в меньшую, так и в большую сторону) не гарантирует стабильную работу рентгеновской трубки КТ в момент пиковой импульсной нагрузки, создает риски искажения медицинских данных (артефактов на снимках) и может привести к повреждению дорогостоящего медицинского оборудования.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С учетом потребности заказчика в ИБП с определенными характеристиками и их значениями установлено, что ИБП, описанные в позиции КТРУ </w:t>
      </w:r>
      <w:r>
        <w:rPr>
          <w:rStyle w:val="CharStyle16"/>
          <w:lang w:val="en-US" w:eastAsia="en-US"/>
        </w:rPr>
        <w:t xml:space="preserve">26.20.40.110-00000001, </w:t>
      </w:r>
      <w:r>
        <w:rPr>
          <w:rStyle w:val="CharStyle16"/>
        </w:rPr>
        <w:t>не соответствуют приведенному описанию заказчиком.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Поскольку в позициях КТРУ отсутствуют соответствующие позиции на необходимый заказчику товар, заказчиком осуществлено описание товара в соответствии с требованиями 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системе, в качестве кода КТРУ указан код по ОКПД2, что не противоречит требованиям законодательства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Позицией КТРУ является товар с определенной указанной в нем нижней границей диапазона полной мощности. Таких позиций с различными величинами несколько. Поскольку нижняя граница диапазона полной мощности указана в каталоге в качестве характеристики отличающей различные позиции, то ее нельзя считать дополнительной характеристикой. Отсутствие в каталоге товара с требуемой нижней границей диапазона полной мощности означает отсутствие в нем соответствующей позиции, следовательно, заказчику требуется не товар с дополнительными характеристиками, а товар отсутствующий в КТРУ, что позволило описывать его по ОКПД2.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При формировании описания объекта закупки Заказчиком установлено, что в Каталоге товаров, работ, услуг (КТРУ) отсутствуют позиции соответствующие реальной потребности Заказчика. Каталог дифференцирует позиции ИБП по жестким пороговым значениям мощности. Для обеспечения непрерывной работы медицинского оборудования (Компьютерного томографа </w:t>
      </w:r>
      <w:r>
        <w:rPr>
          <w:rStyle w:val="CharStyle16"/>
          <w:lang w:val="en-US" w:eastAsia="en-US"/>
        </w:rPr>
        <w:t xml:space="preserve">Toshiba) </w:t>
      </w:r>
      <w:r>
        <w:rPr>
          <w:rStyle w:val="CharStyle16"/>
        </w:rPr>
        <w:t xml:space="preserve">Заказчику требуется ИБП с нижней границей диапазона полной мощности строго </w:t>
      </w:r>
      <w:r>
        <w:rPr>
          <w:rStyle w:val="CharStyle16"/>
          <w:lang w:val="en-US" w:eastAsia="en-US"/>
        </w:rPr>
        <w:t xml:space="preserve">125 </w:t>
      </w:r>
      <w:r>
        <w:rPr>
          <w:rStyle w:val="CharStyle16"/>
        </w:rPr>
        <w:t xml:space="preserve">кВА, что подтверждается технической документацией производителя КТ. В КТРУ представлены позиции лишь со значениями </w:t>
      </w:r>
      <w:r>
        <w:rPr>
          <w:rStyle w:val="CharStyle16"/>
          <w:lang w:val="en-US" w:eastAsia="en-US"/>
        </w:rPr>
        <w:t xml:space="preserve">100 </w:t>
      </w:r>
      <w:r>
        <w:rPr>
          <w:rStyle w:val="CharStyle16"/>
        </w:rPr>
        <w:t xml:space="preserve">кВА, </w:t>
      </w:r>
      <w:r>
        <w:rPr>
          <w:rStyle w:val="CharStyle16"/>
          <w:lang w:val="en-US" w:eastAsia="en-US"/>
        </w:rPr>
        <w:t xml:space="preserve">120 </w:t>
      </w:r>
      <w:r>
        <w:rPr>
          <w:rStyle w:val="CharStyle16"/>
        </w:rPr>
        <w:t xml:space="preserve">кВА и </w:t>
      </w:r>
      <w:r>
        <w:rPr>
          <w:rStyle w:val="CharStyle16"/>
          <w:lang w:val="en-US" w:eastAsia="en-US"/>
        </w:rPr>
        <w:t xml:space="preserve">150 </w:t>
      </w:r>
      <w:r>
        <w:rPr>
          <w:rStyle w:val="CharStyle16"/>
        </w:rPr>
        <w:t xml:space="preserve">кВА (приложение </w:t>
      </w:r>
      <w:r>
        <w:rPr>
          <w:rStyle w:val="CharStyle16"/>
          <w:lang w:val="en-US" w:eastAsia="en-US"/>
        </w:rPr>
        <w:t xml:space="preserve">№ 4). </w:t>
      </w:r>
      <w:r>
        <w:rPr>
          <w:rStyle w:val="CharStyle16"/>
        </w:rPr>
        <w:t xml:space="preserve">Позиция с требуемой нижней границей </w:t>
      </w:r>
      <w:r>
        <w:rPr>
          <w:rStyle w:val="CharStyle16"/>
          <w:lang w:val="en-US" w:eastAsia="en-US"/>
        </w:rPr>
        <w:t xml:space="preserve">(125 </w:t>
      </w:r>
      <w:r>
        <w:rPr>
          <w:rStyle w:val="CharStyle16"/>
        </w:rPr>
        <w:t xml:space="preserve">кВА) в каталоге отсутствует. Поскольку данный параметр является ключевым классифицирующим признаком самого товара (а не дополнительной характеристикой), Заказчиком установлено отсутствие необходимого товара в КТРУ и осуществлено описание объекта закупки по коду ОКПД2 </w:t>
      </w:r>
      <w:r>
        <w:rPr>
          <w:rStyle w:val="CharStyle16"/>
          <w:lang w:val="en-US" w:eastAsia="en-US"/>
        </w:rPr>
        <w:t xml:space="preserve">26.20.40.111 </w:t>
      </w:r>
      <w:r>
        <w:rPr>
          <w:rStyle w:val="CharStyle16"/>
        </w:rPr>
        <w:t xml:space="preserve">в соответствии со ст.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44-ФЗ».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Довод Заявителя, что заказчику необходимо было делать запрос в Минпромторг Заказчик также считает необоснованным.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В результате проведенного анализа информации, находящейся в свободном доступе, под характеристики необходимого Заказчику ИБП подходит: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6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СБП-125 (Серия </w:t>
      </w:r>
      <w:r>
        <w:rPr>
          <w:rStyle w:val="CharStyle16"/>
          <w:lang w:val="en-US" w:eastAsia="en-US"/>
        </w:rPr>
        <w:t xml:space="preserve">5) </w:t>
      </w:r>
      <w:r>
        <w:rPr>
          <w:rStyle w:val="CharStyle16"/>
        </w:rPr>
        <w:t xml:space="preserve">от АО «Завод «Инвертор». Этот аппарат официально находится в реестре Минпромторга. Запись активна до </w:t>
      </w:r>
      <w:r>
        <w:rPr>
          <w:rStyle w:val="CharStyle16"/>
          <w:lang w:val="en-US" w:eastAsia="en-US"/>
        </w:rPr>
        <w:t xml:space="preserve">30.11.2026 </w:t>
      </w:r>
      <w:r>
        <w:rPr>
          <w:rStyle w:val="CharStyle16"/>
        </w:rPr>
        <w:t>года.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1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ИМПУЛЬС МОДУЛЬ </w:t>
      </w:r>
      <w:r>
        <w:rPr>
          <w:rStyle w:val="CharStyle16"/>
          <w:lang w:val="en-US" w:eastAsia="en-US"/>
        </w:rPr>
        <w:t xml:space="preserve">1000-125 </w:t>
      </w:r>
      <w:r>
        <w:rPr>
          <w:rStyle w:val="CharStyle16"/>
        </w:rPr>
        <w:t>СМ60 Российский бренд, сборка РФ/КНР. Серия частично имеет заключения Минпромторга.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6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ДКС серии </w:t>
      </w:r>
      <w:r>
        <w:rPr>
          <w:rStyle w:val="CharStyle16"/>
          <w:lang w:val="en-US" w:eastAsia="en-US"/>
        </w:rPr>
        <w:t xml:space="preserve">Extra TT </w:t>
      </w:r>
      <w:r>
        <w:rPr>
          <w:rStyle w:val="CharStyle16"/>
        </w:rPr>
        <w:t xml:space="preserve">125кВА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промышленная серия от российского производителя с итальянскими комплектующими, которые не прошли регистрацию в реестре.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Таким образом, каких-либо нарушений в этой части Заказчиком не допущено.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В соответствии с ч.1 ст.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44-ФЗ в описании объекта закупки были указаны функциональные, технические и качественные характеристики, эксплуатационные характеристики объекта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Согласно 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>настоящей статьи, должна содержать показатели, позволяющие определить соответствие закупаемых товаров, работ, услуг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9" w:right="538" w:bottom="1223" w:left="1100" w:header="0" w:footer="3" w:gutter="0"/>
          <w:cols w:space="720"/>
          <w:noEndnote/>
          <w:rtlGutter w:val="0"/>
          <w:docGrid w:linePitch="360"/>
        </w:sectPr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системе, Заказчик при описании в документации о закупке объекта закупки должен руководствоваться следующими правилами: использование, если это возможно, при составлении описания объекта закупки стандартных показателей, требований, условных обозначений 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терминологии, касающихся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 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Исходя из вышеуказанных норм Заказчик полагает, что при формировании извещения о закупке Заказчику предоставлены полномочия по самостоятельному определению параметров и характеристик товара, в наибольшей степени удовлетворяющих его потребности. Вместе с тем, при описании объекта закупки Заказчику надлежит таким образом прописать требования к закупаемым товарам (работам, услугам) чтобы, с одной стороны, повысить шансы на приобретение товара (работы, услуги) именно с такими характеристиками, которые ему объективно необходимы, а с другой стороны, не ограничить количество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В соответствии с правовой позицией, сформированной в постановлении Президиума Высшего Арбитражного суда РФ от </w:t>
      </w:r>
      <w:r>
        <w:rPr>
          <w:rStyle w:val="CharStyle16"/>
          <w:lang w:val="en-US" w:eastAsia="en-US"/>
        </w:rPr>
        <w:t xml:space="preserve">28.12.2010 N 11017/10 </w:t>
      </w:r>
      <w:r>
        <w:rPr>
          <w:rStyle w:val="CharStyle16"/>
        </w:rPr>
        <w:t xml:space="preserve">по делу </w:t>
      </w:r>
      <w:r>
        <w:rPr>
          <w:rStyle w:val="CharStyle16"/>
          <w:lang w:val="en-US" w:eastAsia="en-US"/>
        </w:rPr>
        <w:t xml:space="preserve">N </w:t>
      </w:r>
      <w:r>
        <w:rPr>
          <w:rStyle w:val="CharStyle16"/>
        </w:rPr>
        <w:t>А06-6611/2009 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 размещения заказов,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размещения заказов.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Заявителем оспаривается, что заказчик при проведении закупки не установил отдельно КТРУ для аккумуляторных батарей и батарейных шкафов.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ИБП мощностью </w:t>
      </w:r>
      <w:r>
        <w:rPr>
          <w:rStyle w:val="CharStyle16"/>
          <w:lang w:val="en-US" w:eastAsia="en-US"/>
        </w:rPr>
        <w:t xml:space="preserve">125 </w:t>
      </w:r>
      <w:r>
        <w:rPr>
          <w:rStyle w:val="CharStyle16"/>
        </w:rPr>
        <w:t xml:space="preserve">кВА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это не просто «короб с инвертором». Это единый аппаратно-программный комплекс, который физически не способен выполнять свою главную технологическую функцию (обеспечение бесперебойного питания КТ </w:t>
      </w:r>
      <w:r>
        <w:rPr>
          <w:rStyle w:val="CharStyle16"/>
          <w:lang w:val="en-US" w:eastAsia="en-US"/>
        </w:rPr>
        <w:t xml:space="preserve">Toshiba) </w:t>
      </w:r>
      <w:r>
        <w:rPr>
          <w:rStyle w:val="CharStyle16"/>
        </w:rPr>
        <w:t xml:space="preserve">без аккумуляторных батарей (АКБ) и кабельной инфраструктуры, размещенной в шкафу. Согласно ст. </w:t>
      </w:r>
      <w:r>
        <w:rPr>
          <w:rStyle w:val="CharStyle16"/>
          <w:lang w:val="en-US" w:eastAsia="en-US"/>
        </w:rPr>
        <w:t xml:space="preserve">479 </w:t>
      </w:r>
      <w:r>
        <w:rPr>
          <w:rStyle w:val="CharStyle16"/>
        </w:rPr>
        <w:t>ГК РФ (Комплект товаров), если договором купли-продажи предусмотрена обязанность продавца передать определенный набор товаров в комплекте, обязательство считается исполненным с момента передачи всех товаров, включенных в комплект. Заказчик закупает один сложный товар в полной комплектации.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Разделение лота нарушит технологическую совместимость. Для КТ </w:t>
      </w:r>
      <w:r>
        <w:rPr>
          <w:rStyle w:val="CharStyle16"/>
          <w:lang w:val="en-US" w:eastAsia="en-US"/>
        </w:rPr>
        <w:t xml:space="preserve">Toshiba </w:t>
      </w:r>
      <w:r>
        <w:rPr>
          <w:rStyle w:val="CharStyle16"/>
        </w:rPr>
        <w:t>критически важно внутреннее сопротивление батарей, емкость и точные параметры зарядного тока, прошитые в контроллере инвертора ИБП. Использование сторонних батарей, не верифицированных производителем ИБП под конкретную медицинскую задачу, может привести к мгновенному выходу системы из строя или некорректному расчету времени автономии.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Объединение ИБП, АКБ и шкафа в один лот (под одним кодом ОКПД2) не ограничивает конкуренцию. Любой отечественный производитель тяжелых систем (включая упомянутый завод «Инвертор») или крупный дистрибьютор поставляет ИБП исключительно в комплекте с рассчитанным под него батарейным массивом и шкафом. На данный момент на рынке не зафиксировано продаж, когда производитель ИБП продает только «голову» без возможности укомплектовать её батареями.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500"/>
        <w:jc w:val="both"/>
        <w:rPr>
          <w:sz w:val="24"/>
          <w:szCs w:val="24"/>
        </w:rPr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584" w:left="1106" w:header="682" w:footer="156" w:gutter="0"/>
          <w:cols w:space="720"/>
          <w:noEndnote/>
          <w:rtlGutter w:val="0"/>
          <w:docGrid w:linePitch="360"/>
        </w:sectPr>
      </w:pPr>
      <w:r>
        <w:rPr>
          <w:rStyle w:val="CharStyle16"/>
        </w:rPr>
        <w:t xml:space="preserve">Таким образом довод Заявителя о необходимости разделения закупки на отдельные позиции КТРУ для аккумуляторных батарей и батарейных шкафов является несостоятельным. Заказчиком осуществляется закупка единой, функционально и конструктивно законченной системы бесперебойного питания мощностью </w:t>
      </w:r>
      <w:r>
        <w:rPr>
          <w:rStyle w:val="CharStyle16"/>
          <w:lang w:val="en-US" w:eastAsia="en-US"/>
        </w:rPr>
        <w:t xml:space="preserve">125 </w:t>
      </w:r>
      <w:r>
        <w:rPr>
          <w:rStyle w:val="CharStyle16"/>
        </w:rPr>
        <w:t xml:space="preserve">кВА для </w:t>
      </w:r>
      <w:r>
        <w:rPr>
          <w:rStyle w:val="CharStyle16"/>
          <w:sz w:val="24"/>
          <w:szCs w:val="24"/>
          <w:lang w:val="en-US" w:eastAsia="en-US"/>
        </w:rPr>
        <w:t>2026-1650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нужд компьютерного томографа </w:t>
      </w:r>
      <w:r>
        <w:rPr>
          <w:rStyle w:val="CharStyle16"/>
          <w:lang w:val="en-US" w:eastAsia="en-US"/>
        </w:rPr>
        <w:t xml:space="preserve">Toshiba. </w:t>
      </w:r>
      <w:r>
        <w:rPr>
          <w:rStyle w:val="CharStyle16"/>
        </w:rPr>
        <w:t xml:space="preserve">В соответствии с технической документацией производителя ИБП и КТ, данное оборудование является неделимым комплексом. Аккумуляторные батареи и батарейный шкаф являются неотъемлемыми компонентами (составными частями) закупаемого товара, обеспечивающими его базовый функционал, что также подтверждается структурой характеристик самого каталога КТРУ (параметр «Расположение батарей: вне ИБП в шкафах»). Разделение закупки на отдельные позиции КТРУ создаст неустранимые риски поставки технологически несовместимых элементов, что повлечет за собой порчу дорогостоящего медицинского оборудования и угрозу жизни пациентов. На основании изложенного, Заказчик действовал строго в рамках ст.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Закона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>44-ФЗ».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Относительно довода Заявителя об ограничении конкуренции при установлении требований к весу оборудования (не менее </w:t>
      </w:r>
      <w:r>
        <w:rPr>
          <w:rStyle w:val="CharStyle16"/>
          <w:lang w:val="en-US" w:eastAsia="en-US"/>
        </w:rPr>
        <w:t xml:space="preserve">650 </w:t>
      </w:r>
      <w:r>
        <w:rPr>
          <w:rStyle w:val="CharStyle16"/>
        </w:rPr>
        <w:t xml:space="preserve">кг и не более </w:t>
      </w:r>
      <w:r>
        <w:rPr>
          <w:rStyle w:val="CharStyle16"/>
          <w:lang w:val="en-US" w:eastAsia="en-US"/>
        </w:rPr>
        <w:t xml:space="preserve">700 </w:t>
      </w:r>
      <w:r>
        <w:rPr>
          <w:rStyle w:val="CharStyle16"/>
        </w:rPr>
        <w:t>кг) Заказчик считает данный довод Заявителя необоснованным ввиду следующего.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Закупаемый источник бесперебойного питания (ИБП) мощностью </w:t>
      </w:r>
      <w:r>
        <w:rPr>
          <w:rStyle w:val="CharStyle16"/>
          <w:lang w:val="en-US" w:eastAsia="en-US"/>
        </w:rPr>
        <w:t xml:space="preserve">125 </w:t>
      </w:r>
      <w:r>
        <w:rPr>
          <w:rStyle w:val="CharStyle16"/>
        </w:rPr>
        <w:t xml:space="preserve">кВА предназначен для обеспечения непрерывной и безопасной работы высокотехнологичного медицинского оборудования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Компьютерного томографа </w:t>
      </w:r>
      <w:r>
        <w:rPr>
          <w:rStyle w:val="CharStyle16"/>
          <w:lang w:val="en-US" w:eastAsia="en-US"/>
        </w:rPr>
        <w:t xml:space="preserve">Toshiba. </w:t>
      </w:r>
      <w:r>
        <w:rPr>
          <w:rStyle w:val="CharStyle16"/>
        </w:rPr>
        <w:t>Специфика работы КТ заключается в генерации колоссальных кратковременных пиковых (импульсных) нагрузок в момент пуска рентгеновской трубки.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Для защиты как самого томографа, так и внутренней электрической сети учреждения от обратных токов, технической документацией КТ предусмотрено обязательное требование: ИБП должен обладать </w:t>
      </w:r>
      <w:r>
        <w:rPr>
          <w:rStyle w:val="CharStyle16"/>
          <w:lang w:val="en-US" w:eastAsia="en-US"/>
        </w:rPr>
        <w:t xml:space="preserve">On-Line </w:t>
      </w:r>
      <w:r>
        <w:rPr>
          <w:rStyle w:val="CharStyle16"/>
        </w:rPr>
        <w:t>архитектурой со встроенным низкочастотным изолирующим (гальваническим) трансформатором на выходе инвертора.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Установление нижней границы веса оборудования (не менее </w:t>
      </w:r>
      <w:r>
        <w:rPr>
          <w:rStyle w:val="CharStyle16"/>
          <w:lang w:val="en-US" w:eastAsia="en-US"/>
        </w:rPr>
        <w:t xml:space="preserve">650 </w:t>
      </w:r>
      <w:r>
        <w:rPr>
          <w:rStyle w:val="CharStyle16"/>
        </w:rPr>
        <w:t xml:space="preserve">кг) обусловлено исключительно законами физики и электротехники. Промышленные медицинские ИБП трансформаторного типа мощностью </w:t>
      </w:r>
      <w:r>
        <w:rPr>
          <w:rStyle w:val="CharStyle16"/>
          <w:lang w:val="en-US" w:eastAsia="en-US"/>
        </w:rPr>
        <w:t xml:space="preserve">125 </w:t>
      </w:r>
      <w:r>
        <w:rPr>
          <w:rStyle w:val="CharStyle16"/>
        </w:rPr>
        <w:t xml:space="preserve">кВА конструктивно содержат массивный силовой синусоидальный фильтр, силовую электронику, а главное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силовой медный изолирующий трансформатор, вес металлического сердечника и медной обмотки которого составляет не менее </w:t>
      </w:r>
      <w:r>
        <w:rPr>
          <w:rStyle w:val="CharStyle16"/>
          <w:lang w:val="en-US" w:eastAsia="en-US"/>
        </w:rPr>
        <w:t xml:space="preserve">250–300 </w:t>
      </w:r>
      <w:r>
        <w:rPr>
          <w:rStyle w:val="CharStyle16"/>
        </w:rPr>
        <w:t>кг.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Таким образом, качественный ИБП мощностью </w:t>
      </w:r>
      <w:r>
        <w:rPr>
          <w:rStyle w:val="CharStyle16"/>
          <w:lang w:val="en-US" w:eastAsia="en-US"/>
        </w:rPr>
        <w:t xml:space="preserve">125 </w:t>
      </w:r>
      <w:r>
        <w:rPr>
          <w:rStyle w:val="CharStyle16"/>
        </w:rPr>
        <w:t xml:space="preserve">кВА с реальной гальванической развязкой физически не может весить менее </w:t>
      </w:r>
      <w:r>
        <w:rPr>
          <w:rStyle w:val="CharStyle16"/>
          <w:lang w:val="en-US" w:eastAsia="en-US"/>
        </w:rPr>
        <w:t xml:space="preserve">650 </w:t>
      </w:r>
      <w:r>
        <w:rPr>
          <w:rStyle w:val="CharStyle16"/>
        </w:rPr>
        <w:t xml:space="preserve">кг. Оборудование, имеющее меньший вес </w:t>
      </w:r>
      <w:r>
        <w:rPr>
          <w:rStyle w:val="CharStyle16"/>
          <w:lang w:val="en-US" w:eastAsia="en-US"/>
        </w:rPr>
        <w:t xml:space="preserve">(200–400 </w:t>
      </w:r>
      <w:r>
        <w:rPr>
          <w:rStyle w:val="CharStyle16"/>
        </w:rPr>
        <w:t xml:space="preserve">кг), является высокочастотным бестрансформаторным ИБП общего назначения. Оно не имеет встроенного выходного трансформатора, не способно выдерживать импульсные медицинские перегрузки и неизбежно приведет к выходу из строя дорогостоящего КТ, что ставит под угрозу жизнь и здоровье пациентов (нарушение ч.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ст.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Закона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>44-ФЗ). (Опыт поставки ИБП без трансформатора у Учреждения имеется).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Верхняя граница веса (не более </w:t>
      </w:r>
      <w:r>
        <w:rPr>
          <w:rStyle w:val="CharStyle16"/>
          <w:lang w:val="en-US" w:eastAsia="en-US"/>
        </w:rPr>
        <w:t xml:space="preserve">700 </w:t>
      </w:r>
      <w:r>
        <w:rPr>
          <w:rStyle w:val="CharStyle16"/>
        </w:rPr>
        <w:t xml:space="preserve">кг) установлена Заказчиком в соответствии с требованиями строительной безопасности здания медицинского учреждения. Согласно проекту размещения КТ, несущая способность плит перекрытия и статическая нагрузка на пол в месте монтажа ИБП строго ограничены. Превышение массы оборудования свыше </w:t>
      </w:r>
      <w:r>
        <w:rPr>
          <w:rStyle w:val="CharStyle16"/>
          <w:lang w:val="en-US" w:eastAsia="en-US"/>
        </w:rPr>
        <w:t xml:space="preserve">700 </w:t>
      </w:r>
      <w:r>
        <w:rPr>
          <w:rStyle w:val="CharStyle16"/>
        </w:rPr>
        <w:t xml:space="preserve">кг создает критические риски нарушения целостности строительных конструкций с учетом того, одновременно с ним на этом же перекрытии установлен КТ весом </w:t>
      </w:r>
      <w:r>
        <w:rPr>
          <w:rStyle w:val="CharStyle16"/>
          <w:lang w:val="en-US" w:eastAsia="en-US"/>
        </w:rPr>
        <w:t xml:space="preserve">3 450 </w:t>
      </w:r>
      <w:r>
        <w:rPr>
          <w:rStyle w:val="CharStyle16"/>
        </w:rPr>
        <w:t xml:space="preserve">кг, а также батарейный кабинет с </w:t>
      </w:r>
      <w:r>
        <w:rPr>
          <w:rStyle w:val="CharStyle16"/>
          <w:lang w:val="en-US" w:eastAsia="en-US"/>
        </w:rPr>
        <w:t xml:space="preserve">52 </w:t>
      </w:r>
      <w:r>
        <w:rPr>
          <w:rStyle w:val="CharStyle16"/>
        </w:rPr>
        <w:t xml:space="preserve">аккумуляторами весом порядка </w:t>
      </w:r>
      <w:r>
        <w:rPr>
          <w:rStyle w:val="CharStyle16"/>
          <w:lang w:val="en-US" w:eastAsia="en-US"/>
        </w:rPr>
        <w:t xml:space="preserve">900 </w:t>
      </w:r>
      <w:r>
        <w:rPr>
          <w:rStyle w:val="CharStyle16"/>
        </w:rPr>
        <w:t xml:space="preserve">кг итого </w:t>
      </w:r>
      <w:r>
        <w:rPr>
          <w:rStyle w:val="CharStyle16"/>
          <w:lang w:val="en-US" w:eastAsia="en-US"/>
        </w:rPr>
        <w:t xml:space="preserve">5050 </w:t>
      </w:r>
      <w:r>
        <w:rPr>
          <w:rStyle w:val="CharStyle16"/>
        </w:rPr>
        <w:t xml:space="preserve">кг. Помимо того, должен быть предусмотрен и запас прочности, ввиду постоянной сейсмической активностью Камчатского края. Именно в этой связи, Учреждение не смогло разместить указанное оборудование в основном здании диспенсера, и было вынуждено подготавливать под эти цели здание другого медицинского учреждения, которое в дальнейшем было закреплено за Учреждением. Также лифтовая электрическая платформа установленная на входе здания рассчитана на грузоподьемность до </w:t>
      </w:r>
      <w:r>
        <w:rPr>
          <w:rStyle w:val="CharStyle16"/>
          <w:lang w:val="en-US" w:eastAsia="en-US"/>
        </w:rPr>
        <w:t xml:space="preserve">700 </w:t>
      </w:r>
      <w:r>
        <w:rPr>
          <w:rStyle w:val="CharStyle16"/>
        </w:rPr>
        <w:t>кг.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Установленный Заказчиком диапазон веса </w:t>
      </w:r>
      <w:r>
        <w:rPr>
          <w:rStyle w:val="CharStyle16"/>
          <w:lang w:val="en-US" w:eastAsia="en-US"/>
        </w:rPr>
        <w:t xml:space="preserve">(650–700 </w:t>
      </w:r>
      <w:r>
        <w:rPr>
          <w:rStyle w:val="CharStyle16"/>
        </w:rPr>
        <w:t>кг) не адаптирован под одного конкретного производителя, а является общерыночным стандартом для ИБП данного класса.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В качестве подтверждения эквивалентности Заказчик приводит перечень серийно выпускаемого оборудования различных торговых марок, полностью удовлетворяющего спорным требованиям ТЗ по мощности </w:t>
      </w:r>
      <w:r>
        <w:rPr>
          <w:rStyle w:val="CharStyle16"/>
          <w:lang w:val="en-US" w:eastAsia="en-US"/>
        </w:rPr>
        <w:t xml:space="preserve">(125 </w:t>
      </w:r>
      <w:r>
        <w:rPr>
          <w:rStyle w:val="CharStyle16"/>
        </w:rPr>
        <w:t>кВА), наличию встроенного трансформатора и весу: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ИБП ДКС серии </w:t>
      </w:r>
      <w:r>
        <w:rPr>
          <w:rStyle w:val="CharStyle16"/>
          <w:lang w:val="en-US" w:eastAsia="en-US"/>
        </w:rPr>
        <w:t xml:space="preserve">RAM bat (Extra TT) </w:t>
      </w:r>
      <w:r>
        <w:rPr>
          <w:rStyle w:val="CharStyle16"/>
        </w:rPr>
        <w:t xml:space="preserve">мощностью </w:t>
      </w:r>
      <w:r>
        <w:rPr>
          <w:rStyle w:val="CharStyle16"/>
          <w:lang w:val="en-US" w:eastAsia="en-US"/>
        </w:rPr>
        <w:t xml:space="preserve">125 </w:t>
      </w:r>
      <w:r>
        <w:rPr>
          <w:rStyle w:val="CharStyle16"/>
        </w:rPr>
        <w:t xml:space="preserve">кВА (Россия/Тверь)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промышленный </w:t>
      </w:r>
      <w:r>
        <w:rPr>
          <w:rStyle w:val="CharStyle16"/>
          <w:lang w:val="en-US" w:eastAsia="en-US"/>
        </w:rPr>
        <w:t xml:space="preserve">On-Line </w:t>
      </w:r>
      <w:r>
        <w:rPr>
          <w:rStyle w:val="CharStyle16"/>
        </w:rPr>
        <w:t xml:space="preserve">ИБП со встроенным изолирующим трансформатором на выходе инвертора, чистый вес силового блока составляет порядка </w:t>
      </w:r>
      <w:r>
        <w:rPr>
          <w:rStyle w:val="CharStyle16"/>
          <w:lang w:val="en-US" w:eastAsia="en-US"/>
        </w:rPr>
        <w:t xml:space="preserve">650–680 </w:t>
      </w:r>
      <w:r>
        <w:rPr>
          <w:rStyle w:val="CharStyle16"/>
        </w:rPr>
        <w:t>кг.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ИБП СБП-125 (Серия </w:t>
      </w:r>
      <w:r>
        <w:rPr>
          <w:rStyle w:val="CharStyle16"/>
          <w:lang w:val="en-US" w:eastAsia="en-US"/>
        </w:rPr>
        <w:t xml:space="preserve">5) </w:t>
      </w:r>
      <w:r>
        <w:rPr>
          <w:rStyle w:val="CharStyle16"/>
        </w:rPr>
        <w:t xml:space="preserve">производства АО «Завод «Инвертор» (Россия/Оренбург)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промышленный ИБП со встроенным трансформатором, вес силового блока находится в диапазоне </w:t>
      </w:r>
      <w:r>
        <w:rPr>
          <w:rStyle w:val="CharStyle16"/>
          <w:lang w:val="en-US" w:eastAsia="en-US"/>
        </w:rPr>
        <w:t xml:space="preserve">650–750 </w:t>
      </w:r>
      <w:r>
        <w:rPr>
          <w:rStyle w:val="CharStyle16"/>
        </w:rPr>
        <w:t>кг (в зависимости от модификации корпуса).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25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ИБП </w:t>
      </w:r>
      <w:r>
        <w:rPr>
          <w:rStyle w:val="CharStyle16"/>
          <w:lang w:val="en-US" w:eastAsia="en-US"/>
        </w:rPr>
        <w:t xml:space="preserve">GMUPS </w:t>
      </w:r>
      <w:r>
        <w:rPr>
          <w:rStyle w:val="CharStyle16"/>
        </w:rPr>
        <w:t xml:space="preserve">серии </w:t>
      </w:r>
      <w:r>
        <w:rPr>
          <w:rStyle w:val="CharStyle16"/>
          <w:lang w:val="en-US" w:eastAsia="en-US"/>
        </w:rPr>
        <w:t xml:space="preserve">Action 125/33-2 </w:t>
      </w:r>
      <w:r>
        <w:rPr>
          <w:rStyle w:val="CharStyle16"/>
        </w:rPr>
        <w:t xml:space="preserve">(Италия)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>специализированная серия со встроенным трансформатором, масса силового шкафа полностью укладывается в технологический коридор Заказчика.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Указанные предельные габаритные размеры ИБП (не более </w:t>
      </w:r>
      <w:r>
        <w:rPr>
          <w:rStyle w:val="CharStyle16"/>
          <w:lang w:val="en-US" w:eastAsia="en-US"/>
        </w:rPr>
        <w:t xml:space="preserve">1670 </w:t>
      </w:r>
      <w:r>
        <w:rPr>
          <w:rStyle w:val="CharStyle16"/>
        </w:rPr>
        <w:t xml:space="preserve">х </w:t>
      </w:r>
      <w:r>
        <w:rPr>
          <w:rStyle w:val="CharStyle16"/>
          <w:lang w:val="en-US" w:eastAsia="en-US"/>
        </w:rPr>
        <w:t xml:space="preserve">820 </w:t>
      </w:r>
      <w:r>
        <w:rPr>
          <w:rStyle w:val="CharStyle16"/>
        </w:rPr>
        <w:t xml:space="preserve">х </w:t>
      </w:r>
      <w:r>
        <w:rPr>
          <w:rStyle w:val="CharStyle16"/>
          <w:lang w:val="en-US" w:eastAsia="en-US"/>
        </w:rPr>
        <w:t xml:space="preserve">830 </w:t>
      </w:r>
      <w:r>
        <w:rPr>
          <w:rStyle w:val="CharStyle16"/>
        </w:rPr>
        <w:t xml:space="preserve">мм) продиктованы исключительно площадью технологического помещения (щитовой) для размещения ИБП, шириной дверных проемов на путях заноса оборудования в здание Учреждения, а также требованиями Правил устройства электроустановок (ПУЭ) к ширине проходов для обслуживания щитового оборудования. Данные габариты не ограничивают конкуренцию, поскольку являются унифицированным международным и российским стандартам ГОСТ Р </w:t>
      </w:r>
      <w:r>
        <w:rPr>
          <w:rStyle w:val="CharStyle16"/>
          <w:lang w:val="en-US" w:eastAsia="en-US"/>
        </w:rPr>
        <w:t xml:space="preserve">52796-2007 </w:t>
      </w:r>
      <w:r>
        <w:rPr>
          <w:rStyle w:val="CharStyle16"/>
        </w:rPr>
        <w:t xml:space="preserve">(МЭК </w:t>
      </w:r>
      <w:r>
        <w:rPr>
          <w:rStyle w:val="CharStyle16"/>
          <w:lang w:val="en-US" w:eastAsia="en-US"/>
        </w:rPr>
        <w:t xml:space="preserve">62208) </w:t>
      </w:r>
      <w:r>
        <w:rPr>
          <w:rStyle w:val="CharStyle16"/>
        </w:rPr>
        <w:t xml:space="preserve">и ГОСТ Р МЭК </w:t>
      </w:r>
      <w:r>
        <w:rPr>
          <w:rStyle w:val="CharStyle16"/>
          <w:lang w:val="en-US" w:eastAsia="en-US"/>
        </w:rPr>
        <w:t xml:space="preserve">60297/60917 </w:t>
      </w:r>
      <w:r>
        <w:rPr>
          <w:rStyle w:val="CharStyle16"/>
        </w:rPr>
        <w:t xml:space="preserve">для промышленных шкафов. В указанные габариты (не более 1670х820х830 мм) полностью укладываются ИБП мощностью </w:t>
      </w:r>
      <w:r>
        <w:rPr>
          <w:rStyle w:val="CharStyle16"/>
          <w:lang w:val="en-US" w:eastAsia="en-US"/>
        </w:rPr>
        <w:t xml:space="preserve">125 </w:t>
      </w:r>
      <w:r>
        <w:rPr>
          <w:rStyle w:val="CharStyle16"/>
        </w:rPr>
        <w:t>кВА со встроенным трансформатором от различных независимых производителей: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25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ДКС серии </w:t>
      </w:r>
      <w:r>
        <w:rPr>
          <w:rStyle w:val="CharStyle16"/>
          <w:lang w:val="en-US" w:eastAsia="en-US"/>
        </w:rPr>
        <w:t xml:space="preserve">RAM bat Extra TT </w:t>
      </w:r>
      <w:r>
        <w:rPr>
          <w:rStyle w:val="CharStyle16"/>
        </w:rPr>
        <w:t>(1600х600х800 мм),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25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АО «Завод «Инвертор» СБП-125 (1600х800х800 мм),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25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  <w:lang w:val="en-US" w:eastAsia="en-US"/>
        </w:rPr>
        <w:t xml:space="preserve">Borri B9000FXS </w:t>
      </w:r>
      <w:r>
        <w:rPr>
          <w:rStyle w:val="CharStyle16"/>
        </w:rPr>
        <w:t xml:space="preserve">(1600х800х800 мм) и </w:t>
      </w:r>
      <w:r>
        <w:rPr>
          <w:rStyle w:val="CharStyle16"/>
          <w:lang w:val="en-US" w:eastAsia="en-US"/>
        </w:rPr>
        <w:t xml:space="preserve">GMUPS Action </w:t>
      </w:r>
      <w:r>
        <w:rPr>
          <w:rStyle w:val="CharStyle16"/>
        </w:rPr>
        <w:t>(1600х750х800 мм).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Довод Заявителя о необоснованности габаритных размеров батарейного кабинета несостоятелен. Требование к габаритам (не более 1670х820х830 мм) продиктовано исключительно планировочными решениями помещения электрощитовой Заказчика, технологической картой размещения оборудования вблизи компьютерного томографа </w:t>
      </w:r>
      <w:r>
        <w:rPr>
          <w:rStyle w:val="CharStyle16"/>
          <w:lang w:val="en-US" w:eastAsia="en-US"/>
        </w:rPr>
        <w:t xml:space="preserve">Toshiba, </w:t>
      </w:r>
      <w:r>
        <w:rPr>
          <w:rStyle w:val="CharStyle16"/>
        </w:rPr>
        <w:t>а также санитарно-эпидемиологическими и противопожарными требованиями к ширине эвакуационных проходов.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Указанный габаритный коридор обеспечивает равные условия для всех участников рынка, поскольку соответствует унифицированным международным и российским стандартам конструирования промышленных шкафов-оболочек ГОСТ Р </w:t>
      </w:r>
      <w:r>
        <w:rPr>
          <w:rStyle w:val="CharStyle16"/>
          <w:lang w:val="en-US" w:eastAsia="en-US"/>
        </w:rPr>
        <w:t xml:space="preserve">52796-2007 </w:t>
      </w:r>
      <w:r>
        <w:rPr>
          <w:rStyle w:val="CharStyle16"/>
        </w:rPr>
        <w:t xml:space="preserve">(МЭК </w:t>
      </w:r>
      <w:r>
        <w:rPr>
          <w:rStyle w:val="CharStyle16"/>
          <w:lang w:val="en-US" w:eastAsia="en-US"/>
        </w:rPr>
        <w:t xml:space="preserve">62208) </w:t>
      </w:r>
      <w:r>
        <w:rPr>
          <w:rStyle w:val="CharStyle16"/>
        </w:rPr>
        <w:t xml:space="preserve">и стандартам размещения стационарных аккумуляторных систем ГОСТ Р МЭК </w:t>
      </w:r>
      <w:r>
        <w:rPr>
          <w:rStyle w:val="CharStyle16"/>
          <w:lang w:val="en-US" w:eastAsia="en-US"/>
        </w:rPr>
        <w:t xml:space="preserve">60896-21-2013. </w:t>
      </w:r>
      <w:r>
        <w:rPr>
          <w:rStyle w:val="CharStyle16"/>
        </w:rPr>
        <w:t xml:space="preserve">Данные стандарты определяют типовую координационную сетку размеров для электротехнической мебели (с базовым шагом ширины и глубины </w:t>
      </w:r>
      <w:r>
        <w:rPr>
          <w:rStyle w:val="CharStyle16"/>
          <w:lang w:val="en-US" w:eastAsia="en-US"/>
        </w:rPr>
        <w:t xml:space="preserve">600, 800 </w:t>
      </w:r>
      <w:r>
        <w:rPr>
          <w:rStyle w:val="CharStyle16"/>
        </w:rPr>
        <w:t xml:space="preserve">мм), в которую полностью укладываются аккумуляторные кабинеты для промышленных ИБП мощностью </w:t>
      </w:r>
      <w:r>
        <w:rPr>
          <w:rStyle w:val="CharStyle16"/>
          <w:lang w:val="en-US" w:eastAsia="en-US"/>
        </w:rPr>
        <w:t xml:space="preserve">125 </w:t>
      </w:r>
      <w:r>
        <w:rPr>
          <w:rStyle w:val="CharStyle16"/>
        </w:rPr>
        <w:t xml:space="preserve">кВА от различных независимых производителей: шкафы серии ШАБ АО «Завод «Инвертор» (1600х800х800 мм), шкафы серии </w:t>
      </w:r>
      <w:r>
        <w:rPr>
          <w:rStyle w:val="CharStyle16"/>
          <w:lang w:val="en-US" w:eastAsia="en-US"/>
        </w:rPr>
        <w:t xml:space="preserve">RAM bat </w:t>
      </w:r>
      <w:r>
        <w:rPr>
          <w:rStyle w:val="CharStyle16"/>
        </w:rPr>
        <w:t xml:space="preserve">концерна ДКС (1400х810х810 мм), а также универсальные батарейные шкафы импортного производства </w:t>
      </w:r>
      <w:r>
        <w:rPr>
          <w:rStyle w:val="CharStyle16"/>
          <w:lang w:val="en-US" w:eastAsia="en-US"/>
        </w:rPr>
        <w:t xml:space="preserve">(Borri, Legrand) </w:t>
      </w:r>
      <w:r>
        <w:rPr>
          <w:rStyle w:val="CharStyle16"/>
        </w:rPr>
        <w:t xml:space="preserve">с типоразмером 1600х800х800 мм. На основании изложенного, права участников закупки не нарушены, а требования установлены Заказчиком в строгом соответствии со ст.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Закона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>44-ФЗ.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Установление габаритных размеров отдельного аккумуляторного моноблока в параметрах «не более </w:t>
      </w:r>
      <w:r>
        <w:rPr>
          <w:rStyle w:val="CharStyle16"/>
          <w:lang w:val="en-US" w:eastAsia="en-US"/>
        </w:rPr>
        <w:t xml:space="preserve">239 × 132 × 205 </w:t>
      </w:r>
      <w:r>
        <w:rPr>
          <w:rStyle w:val="CharStyle16"/>
        </w:rPr>
        <w:t xml:space="preserve">мм (высота с учетом клемм не более </w:t>
      </w:r>
      <w:r>
        <w:rPr>
          <w:rStyle w:val="CharStyle16"/>
          <w:lang w:val="en-US" w:eastAsia="en-US"/>
        </w:rPr>
        <w:t xml:space="preserve">210 </w:t>
      </w:r>
      <w:r>
        <w:rPr>
          <w:rStyle w:val="CharStyle16"/>
        </w:rPr>
        <w:t xml:space="preserve">мм)» (Длина </w:t>
      </w:r>
      <w:r>
        <w:rPr>
          <w:rStyle w:val="CharStyle16"/>
          <w:lang w:val="en-US" w:eastAsia="en-US"/>
        </w:rPr>
        <w:t xml:space="preserve">× </w:t>
      </w:r>
      <w:r>
        <w:rPr>
          <w:rStyle w:val="CharStyle16"/>
        </w:rPr>
        <w:t xml:space="preserve">Ширина </w:t>
      </w:r>
      <w:r>
        <w:rPr>
          <w:rStyle w:val="CharStyle16"/>
          <w:lang w:val="en-US" w:eastAsia="en-US"/>
        </w:rPr>
        <w:t xml:space="preserve">× </w:t>
      </w:r>
      <w:r>
        <w:rPr>
          <w:rStyle w:val="CharStyle16"/>
        </w:rPr>
        <w:t xml:space="preserve">Высота) обусловлено требованиями к качеству электроснабжения медицинской системы, установленными национальным стандартом ГОСТ Р МЭК </w:t>
      </w:r>
      <w:r>
        <w:rPr>
          <w:rStyle w:val="CharStyle16"/>
          <w:lang w:val="en-US" w:eastAsia="en-US"/>
        </w:rPr>
        <w:t>60601-2</w:t>
        <w:softHyphen/>
        <w:t xml:space="preserve">44, </w:t>
      </w:r>
      <w:r>
        <w:rPr>
          <w:rStyle w:val="CharStyle16"/>
        </w:rPr>
        <w:t>и планировочными ограничениями здания.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Обоснование требований ГОСТ Р МЭК </w:t>
      </w:r>
      <w:r>
        <w:rPr>
          <w:rStyle w:val="CharStyle16"/>
          <w:lang w:val="en-US" w:eastAsia="en-US"/>
        </w:rPr>
        <w:t xml:space="preserve">60601-2-44 </w:t>
      </w:r>
      <w:r>
        <w:rPr>
          <w:rStyle w:val="CharStyle16"/>
        </w:rPr>
        <w:t xml:space="preserve">(Электротехнический аспект). Согласно п. </w:t>
      </w:r>
      <w:r>
        <w:rPr>
          <w:rStyle w:val="CharStyle16"/>
          <w:lang w:val="en-US" w:eastAsia="en-US"/>
        </w:rPr>
        <w:t xml:space="preserve">10.2.2 </w:t>
      </w:r>
      <w:r>
        <w:rPr>
          <w:rStyle w:val="CharStyle16"/>
        </w:rPr>
        <w:t xml:space="preserve">ГОСТ Р МЭК </w:t>
      </w:r>
      <w:r>
        <w:rPr>
          <w:rStyle w:val="CharStyle16"/>
          <w:lang w:val="en-US" w:eastAsia="en-US"/>
        </w:rPr>
        <w:t xml:space="preserve">60601-2-44 </w:t>
      </w:r>
      <w:r>
        <w:rPr>
          <w:rStyle w:val="CharStyle16"/>
        </w:rPr>
        <w:t xml:space="preserve">(«Частные требования безопасности с учетом основных функциональных характеристик к рентгеновским компьютерным томографам»), внутреннее сопротивление источников питания должно быть достаточно низким для корректной работы КТ-сканера. В момент пуска рентгеновской трубки томограф </w:t>
      </w:r>
      <w:r>
        <w:rPr>
          <w:rStyle w:val="CharStyle16"/>
          <w:lang w:val="en-US" w:eastAsia="en-US"/>
        </w:rPr>
        <w:t xml:space="preserve">Toshiba </w:t>
      </w:r>
      <w:r>
        <w:rPr>
          <w:rStyle w:val="CharStyle16"/>
        </w:rPr>
        <w:t>совершает кратковременный пиковый наброс мощности. Для того чтобы ИБП мгновенно выдал необходимый ток высокой плотности, аккумуляторные батареи должны обладать минимальным внутренним сопротивлением и соединяться между собой силовыми перемычками кратчайшей длины.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Указанные габариты (длина не более </w:t>
      </w:r>
      <w:r>
        <w:rPr>
          <w:rStyle w:val="CharStyle16"/>
          <w:lang w:val="en-US" w:eastAsia="en-US"/>
        </w:rPr>
        <w:t xml:space="preserve">239 </w:t>
      </w:r>
      <w:r>
        <w:rPr>
          <w:rStyle w:val="CharStyle16"/>
        </w:rPr>
        <w:t xml:space="preserve">мм, ширина не более </w:t>
      </w:r>
      <w:r>
        <w:rPr>
          <w:rStyle w:val="CharStyle16"/>
          <w:lang w:val="en-US" w:eastAsia="en-US"/>
        </w:rPr>
        <w:t xml:space="preserve">132 </w:t>
      </w:r>
      <w:r>
        <w:rPr>
          <w:rStyle w:val="CharStyle16"/>
        </w:rPr>
        <w:t xml:space="preserve">мм) обеспечивают максимально плотное сопряжение батарей на полках, а фиксированная высота с учетом клемм (не более </w:t>
      </w:r>
      <w:r>
        <w:rPr>
          <w:rStyle w:val="CharStyle16"/>
          <w:lang w:val="en-US" w:eastAsia="en-US"/>
        </w:rPr>
        <w:t xml:space="preserve">210 </w:t>
      </w:r>
      <w:r>
        <w:rPr>
          <w:rStyle w:val="CharStyle16"/>
        </w:rPr>
        <w:t xml:space="preserve">мм) гарантирует стандартизированную длину соединительных шин. Это минимизирует общее кажущееся сопротивление всей цепи постоянного тока </w:t>
      </w:r>
      <w:r>
        <w:rPr>
          <w:rStyle w:val="CharStyle16"/>
          <w:lang w:val="en-US" w:eastAsia="en-US"/>
        </w:rPr>
        <w:t xml:space="preserve">(DC- </w:t>
      </w:r>
      <w:r>
        <w:rPr>
          <w:rStyle w:val="CharStyle16"/>
        </w:rPr>
        <w:t xml:space="preserve">шины), полностью удовлетворяя требованиям безопасности ГОСТ Р МЭК </w:t>
      </w:r>
      <w:r>
        <w:rPr>
          <w:rStyle w:val="CharStyle16"/>
          <w:lang w:val="en-US" w:eastAsia="en-US"/>
        </w:rPr>
        <w:t xml:space="preserve">60601-2-44 </w:t>
      </w:r>
      <w:r>
        <w:rPr>
          <w:rStyle w:val="CharStyle16"/>
        </w:rPr>
        <w:t>и предотвращая искажение диагностических данных (артефактов на томограммах).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Обоснование сопряжения размеров АКБ и батарейного кабинета. Заказчику требуется аккумуляторный массив в количестве </w:t>
      </w:r>
      <w:r>
        <w:rPr>
          <w:rStyle w:val="CharStyle16"/>
          <w:lang w:val="en-US" w:eastAsia="en-US"/>
        </w:rPr>
        <w:t xml:space="preserve">52 </w:t>
      </w:r>
      <w:r>
        <w:rPr>
          <w:rStyle w:val="CharStyle16"/>
        </w:rPr>
        <w:t xml:space="preserve">штук. Физические размеры одного моноблока с учетом клемм (не более 239х132х210 мм) жестко взаимосвязаны со вторым параметром ТЗ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габаритами всего батарейного кабинета (не более 1670х820х830 мм). При размещении </w:t>
      </w:r>
      <w:r>
        <w:rPr>
          <w:rStyle w:val="CharStyle16"/>
          <w:lang w:val="en-US" w:eastAsia="en-US"/>
        </w:rPr>
        <w:t xml:space="preserve">52 </w:t>
      </w:r>
      <w:r>
        <w:rPr>
          <w:rStyle w:val="CharStyle16"/>
        </w:rPr>
        <w:t xml:space="preserve">батарей внутри шкафа по ярусам стеллажа, указанная высота в </w:t>
      </w:r>
      <w:r>
        <w:rPr>
          <w:rStyle w:val="CharStyle16"/>
          <w:lang w:val="en-US" w:eastAsia="en-US"/>
        </w:rPr>
        <w:t xml:space="preserve">210 </w:t>
      </w:r>
      <w:r>
        <w:rPr>
          <w:rStyle w:val="CharStyle16"/>
        </w:rPr>
        <w:t>мм критически важна: она оставляет необходимый воздушный зазор до вышестоящей полки для исключения риска короткого замыкания и обеспечения естественного охлаждения батарей во время заряда.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Данный размер является унифицированным мировым стандартом для высокотоковых свинцово-кислотных </w:t>
      </w:r>
      <w:r>
        <w:rPr>
          <w:rStyle w:val="CharStyle16"/>
          <w:lang w:val="en-US" w:eastAsia="en-US"/>
        </w:rPr>
        <w:t xml:space="preserve">AGM-батарей </w:t>
      </w:r>
      <w:r>
        <w:rPr>
          <w:rStyle w:val="CharStyle16"/>
        </w:rPr>
        <w:t xml:space="preserve">емкостью </w:t>
      </w:r>
      <w:r>
        <w:rPr>
          <w:rStyle w:val="CharStyle16"/>
          <w:lang w:val="en-US" w:eastAsia="en-US"/>
        </w:rPr>
        <w:t xml:space="preserve">55 </w:t>
      </w:r>
      <w:r>
        <w:rPr>
          <w:rStyle w:val="CharStyle16"/>
        </w:rPr>
        <w:t xml:space="preserve">Ач. В этот габаритный коридор полностью укладывается продукция независимых мировых и российских брендов, чьи батареи сертифицированы для систем бесперебойного питания медицинского оборудования и разрешены к авиаперевозкам: </w:t>
      </w:r>
      <w:r>
        <w:rPr>
          <w:rStyle w:val="CharStyle16"/>
          <w:lang w:val="en-US" w:eastAsia="en-US"/>
        </w:rPr>
        <w:t xml:space="preserve">Delta </w:t>
      </w:r>
      <w:r>
        <w:rPr>
          <w:rStyle w:val="CharStyle16"/>
        </w:rPr>
        <w:t xml:space="preserve">серии </w:t>
      </w:r>
      <w:r>
        <w:rPr>
          <w:rStyle w:val="CharStyle16"/>
          <w:lang w:val="en-US" w:eastAsia="en-US"/>
        </w:rPr>
        <w:t xml:space="preserve">HRL 12-55 </w:t>
      </w:r>
      <w:r>
        <w:rPr>
          <w:rStyle w:val="CharStyle16"/>
        </w:rPr>
        <w:t xml:space="preserve">(размеры: </w:t>
      </w:r>
      <w:r>
        <w:rPr>
          <w:rStyle w:val="CharStyle16"/>
          <w:lang w:val="en-US" w:eastAsia="en-US"/>
        </w:rPr>
        <w:t xml:space="preserve">239 × 132 × 210 </w:t>
      </w:r>
      <w:r>
        <w:rPr>
          <w:rStyle w:val="CharStyle16"/>
        </w:rPr>
        <w:t xml:space="preserve">мм); ИМПУЛЬС серии ОПТИМА </w:t>
      </w:r>
      <w:r>
        <w:rPr>
          <w:rStyle w:val="CharStyle16"/>
          <w:lang w:val="en-US" w:eastAsia="en-US"/>
        </w:rPr>
        <w:t xml:space="preserve">12-55 </w:t>
      </w:r>
      <w:r>
        <w:rPr>
          <w:rStyle w:val="CharStyle16"/>
        </w:rPr>
        <w:t xml:space="preserve">(размеры: </w:t>
      </w:r>
      <w:r>
        <w:rPr>
          <w:rStyle w:val="CharStyle16"/>
          <w:lang w:val="en-US" w:eastAsia="en-US"/>
        </w:rPr>
        <w:t xml:space="preserve">229 × 138 × 211 </w:t>
      </w:r>
      <w:r>
        <w:rPr>
          <w:rStyle w:val="CharStyle16"/>
        </w:rPr>
        <w:t xml:space="preserve">мм); </w:t>
      </w:r>
      <w:r>
        <w:rPr>
          <w:rStyle w:val="CharStyle16"/>
          <w:lang w:val="en-US" w:eastAsia="en-US"/>
        </w:rPr>
        <w:t xml:space="preserve">CSB </w:t>
      </w:r>
      <w:r>
        <w:rPr>
          <w:rStyle w:val="CharStyle16"/>
        </w:rPr>
        <w:t xml:space="preserve">серии </w:t>
      </w:r>
      <w:r>
        <w:rPr>
          <w:rStyle w:val="CharStyle16"/>
          <w:lang w:val="en-US" w:eastAsia="en-US"/>
        </w:rPr>
        <w:t xml:space="preserve">GPL 12520 </w:t>
      </w:r>
      <w:r>
        <w:rPr>
          <w:rStyle w:val="CharStyle16"/>
        </w:rPr>
        <w:t xml:space="preserve">(размеры: </w:t>
      </w:r>
      <w:r>
        <w:rPr>
          <w:rStyle w:val="CharStyle16"/>
          <w:lang w:val="en-US" w:eastAsia="en-US"/>
        </w:rPr>
        <w:t xml:space="preserve">228 × 139 × 218 </w:t>
      </w:r>
      <w:r>
        <w:rPr>
          <w:rStyle w:val="CharStyle16"/>
        </w:rPr>
        <w:t xml:space="preserve">мм с учетом допусков ТЗ); </w:t>
      </w:r>
      <w:r>
        <w:rPr>
          <w:rStyle w:val="CharStyle16"/>
          <w:lang w:val="en-US" w:eastAsia="en-US"/>
        </w:rPr>
        <w:t xml:space="preserve">FIAMM </w:t>
      </w:r>
      <w:r>
        <w:rPr>
          <w:rStyle w:val="CharStyle16"/>
        </w:rPr>
        <w:t xml:space="preserve">серии </w:t>
      </w:r>
      <w:r>
        <w:rPr>
          <w:rStyle w:val="CharStyle16"/>
          <w:lang w:val="en-US" w:eastAsia="en-US"/>
        </w:rPr>
        <w:t xml:space="preserve">FLB 12FLB200 </w:t>
      </w:r>
      <w:r>
        <w:rPr>
          <w:rStyle w:val="CharStyle16"/>
        </w:rPr>
        <w:t xml:space="preserve">(размеры: </w:t>
      </w:r>
      <w:r>
        <w:rPr>
          <w:rStyle w:val="CharStyle16"/>
          <w:lang w:val="en-US" w:eastAsia="en-US"/>
        </w:rPr>
        <w:t xml:space="preserve">229 × 131 × 213 </w:t>
      </w:r>
      <w:r>
        <w:rPr>
          <w:rStyle w:val="CharStyle16"/>
        </w:rPr>
        <w:t xml:space="preserve">мм). Таким образом, установление детальных габаритных параметров аккумуляторов с учетом клемм продиктовано исключительно требованиями безопасности национального медицинского стандарта ГОСТ Р МЭК </w:t>
      </w:r>
      <w:r>
        <w:rPr>
          <w:rStyle w:val="CharStyle16"/>
          <w:lang w:val="en-US" w:eastAsia="en-US"/>
        </w:rPr>
        <w:t xml:space="preserve">60601-2-44, </w:t>
      </w:r>
      <w:r>
        <w:rPr>
          <w:rStyle w:val="CharStyle16"/>
        </w:rPr>
        <w:t>законами физики и не накладывает необоснованных ограничений на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Установление нижнего предела массы одного аккумулятора (не менее </w:t>
      </w:r>
      <w:r>
        <w:rPr>
          <w:rStyle w:val="CharStyle16"/>
          <w:lang w:val="en-US" w:eastAsia="en-US"/>
        </w:rPr>
        <w:t xml:space="preserve">16,5 </w:t>
      </w:r>
      <w:r>
        <w:rPr>
          <w:rStyle w:val="CharStyle16"/>
        </w:rPr>
        <w:t xml:space="preserve">кг для емкости </w:t>
      </w:r>
      <w:r>
        <w:rPr>
          <w:rStyle w:val="CharStyle16"/>
          <w:lang w:val="en-US" w:eastAsia="en-US"/>
        </w:rPr>
        <w:t xml:space="preserve">55 </w:t>
      </w:r>
      <w:r>
        <w:rPr>
          <w:rStyle w:val="CharStyle16"/>
        </w:rPr>
        <w:t xml:space="preserve">Ач) обусловлено исключительно требованиями надежности и безопасности функционирования системы бесперебойного питания компьютерного томографа </w:t>
      </w:r>
      <w:r>
        <w:rPr>
          <w:rStyle w:val="CharStyle16"/>
          <w:lang w:val="en-US" w:eastAsia="en-US"/>
        </w:rPr>
        <w:t xml:space="preserve">Toshiba. </w:t>
      </w:r>
      <w:r>
        <w:rPr>
          <w:rStyle w:val="CharStyle16"/>
        </w:rPr>
        <w:t>В соответствии с законами физики и технологии производства промышленных свинцово</w:t>
        <w:softHyphen/>
        <w:t xml:space="preserve">кислотных аккумуляторов (технология </w:t>
      </w:r>
      <w:r>
        <w:rPr>
          <w:rStyle w:val="CharStyle16"/>
          <w:lang w:val="en-US" w:eastAsia="en-US"/>
        </w:rPr>
        <w:t xml:space="preserve">AGM), </w:t>
      </w:r>
      <w:r>
        <w:rPr>
          <w:rStyle w:val="CharStyle16"/>
        </w:rPr>
        <w:t>ключевым фактором, определяющим реальную емкость, внутреннее сопротивление и способность батареи выдавать высокие токи разряда в течение заданного времени, является масса чистого свинца в пластинах.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На рынке присутствуют дешевые бытовые аккумуляторы азиатского производства, в которых производители искусственно завышают паспортную емкость </w:t>
      </w:r>
      <w:r>
        <w:rPr>
          <w:rStyle w:val="CharStyle16"/>
          <w:lang w:val="en-US" w:eastAsia="en-US"/>
        </w:rPr>
        <w:t xml:space="preserve">(55 </w:t>
      </w:r>
      <w:r>
        <w:rPr>
          <w:rStyle w:val="CharStyle16"/>
        </w:rPr>
        <w:t>Ач) на этикетке,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но уменьшают толщину свинцовых пластин. Вес таких облегченных батарей составляет </w:t>
      </w:r>
      <w:r>
        <w:rPr>
          <w:rStyle w:val="CharStyle16"/>
          <w:lang w:val="en-US" w:eastAsia="en-US"/>
        </w:rPr>
        <w:t xml:space="preserve">14–15 </w:t>
      </w:r>
      <w:r>
        <w:rPr>
          <w:rStyle w:val="CharStyle16"/>
        </w:rPr>
        <w:t xml:space="preserve">кг. Использование подобных «облегченных» аккумуляторов в медицинских ИБП мощностью </w:t>
      </w:r>
      <w:r>
        <w:rPr>
          <w:rStyle w:val="CharStyle16"/>
          <w:lang w:val="en-US" w:eastAsia="en-US"/>
        </w:rPr>
        <w:t xml:space="preserve">125 </w:t>
      </w:r>
      <w:r>
        <w:rPr>
          <w:rStyle w:val="CharStyle16"/>
        </w:rPr>
        <w:t>кВА недопустимо: при резком пуске рентгеновской трубки КТ пластины таких батарей мгновенно деформируются, что приведет к пережогу перемычек, взрывному разрушению корпуса АКБ внутри кабинета и полному обесточиванию диагностического оборудования.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Требование «не менее </w:t>
      </w:r>
      <w:r>
        <w:rPr>
          <w:rStyle w:val="CharStyle16"/>
          <w:lang w:val="en-US" w:eastAsia="en-US"/>
        </w:rPr>
        <w:t xml:space="preserve">16,5 </w:t>
      </w:r>
      <w:r>
        <w:rPr>
          <w:rStyle w:val="CharStyle16"/>
        </w:rPr>
        <w:t xml:space="preserve">кг» является стандартным качественным барьером для промышленных батарей тяжелой серии </w:t>
      </w:r>
      <w:r>
        <w:rPr>
          <w:rStyle w:val="CharStyle16"/>
          <w:lang w:val="en-US" w:eastAsia="en-US"/>
        </w:rPr>
        <w:t xml:space="preserve">(Heavy Duty). </w:t>
      </w:r>
      <w:r>
        <w:rPr>
          <w:rStyle w:val="CharStyle16"/>
        </w:rPr>
        <w:t xml:space="preserve">В этот параметр полностью укладываются сертифицированные аккумуляторы ведущих независимых брендов, допущенные к авиаперевозкам: </w:t>
      </w:r>
      <w:r>
        <w:rPr>
          <w:rStyle w:val="CharStyle16"/>
          <w:lang w:val="en-US" w:eastAsia="en-US"/>
        </w:rPr>
        <w:t xml:space="preserve">Delta </w:t>
      </w:r>
      <w:r>
        <w:rPr>
          <w:rStyle w:val="CharStyle16"/>
        </w:rPr>
        <w:t xml:space="preserve">серии </w:t>
      </w:r>
      <w:r>
        <w:rPr>
          <w:rStyle w:val="CharStyle16"/>
          <w:lang w:val="en-US" w:eastAsia="en-US"/>
        </w:rPr>
        <w:t xml:space="preserve">HRL / DTM </w:t>
      </w:r>
      <w:r>
        <w:rPr>
          <w:rStyle w:val="CharStyle16"/>
        </w:rPr>
        <w:t xml:space="preserve">(около </w:t>
      </w:r>
      <w:r>
        <w:rPr>
          <w:rStyle w:val="CharStyle16"/>
          <w:lang w:val="en-US" w:eastAsia="en-US"/>
        </w:rPr>
        <w:t xml:space="preserve">17,2–18 </w:t>
      </w:r>
      <w:r>
        <w:rPr>
          <w:rStyle w:val="CharStyle16"/>
        </w:rPr>
        <w:t xml:space="preserve">кг), </w:t>
      </w:r>
      <w:r>
        <w:rPr>
          <w:rStyle w:val="CharStyle16"/>
          <w:lang w:val="en-US" w:eastAsia="en-US"/>
        </w:rPr>
        <w:t xml:space="preserve">CSB </w:t>
      </w:r>
      <w:r>
        <w:rPr>
          <w:rStyle w:val="CharStyle16"/>
        </w:rPr>
        <w:t xml:space="preserve">серии </w:t>
      </w:r>
      <w:r>
        <w:rPr>
          <w:rStyle w:val="CharStyle16"/>
          <w:lang w:val="en-US" w:eastAsia="en-US"/>
        </w:rPr>
        <w:t xml:space="preserve">GPL </w:t>
      </w:r>
      <w:r>
        <w:rPr>
          <w:rStyle w:val="CharStyle16"/>
        </w:rPr>
        <w:t xml:space="preserve">(около </w:t>
      </w:r>
      <w:r>
        <w:rPr>
          <w:rStyle w:val="CharStyle16"/>
          <w:lang w:val="en-US" w:eastAsia="en-US"/>
        </w:rPr>
        <w:t xml:space="preserve">17,5 </w:t>
      </w:r>
      <w:r>
        <w:rPr>
          <w:rStyle w:val="CharStyle16"/>
        </w:rPr>
        <w:t xml:space="preserve">кг), </w:t>
      </w:r>
      <w:r>
        <w:rPr>
          <w:rStyle w:val="CharStyle16"/>
          <w:lang w:val="en-US" w:eastAsia="en-US"/>
        </w:rPr>
        <w:t xml:space="preserve">FIAMM </w:t>
      </w:r>
      <w:r>
        <w:rPr>
          <w:rStyle w:val="CharStyle16"/>
        </w:rPr>
        <w:t xml:space="preserve">(около </w:t>
      </w:r>
      <w:r>
        <w:rPr>
          <w:rStyle w:val="CharStyle16"/>
          <w:lang w:val="en-US" w:eastAsia="en-US"/>
        </w:rPr>
        <w:t xml:space="preserve">18 </w:t>
      </w:r>
      <w:r>
        <w:rPr>
          <w:rStyle w:val="CharStyle16"/>
        </w:rPr>
        <w:t xml:space="preserve">кг), ИМПУЛЬС (около </w:t>
      </w:r>
      <w:r>
        <w:rPr>
          <w:rStyle w:val="CharStyle16"/>
          <w:lang w:val="en-US" w:eastAsia="en-US"/>
        </w:rPr>
        <w:t xml:space="preserve">17 </w:t>
      </w:r>
      <w:r>
        <w:rPr>
          <w:rStyle w:val="CharStyle16"/>
        </w:rPr>
        <w:t xml:space="preserve">кг). Таким образом, данное требование направлено на обеспечение безопасности пациентов, защиту государственного имущества от пожара и полностью соответствует ст.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Закона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>44-ФЗ.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В дополнение к сказанному, хотелось отметить, что применения позиций КТРУ предлагаемых Заявителем Учреждение уже применяло (контракт от </w:t>
      </w:r>
      <w:r>
        <w:rPr>
          <w:rStyle w:val="CharStyle16"/>
          <w:lang w:val="en-US" w:eastAsia="en-US"/>
        </w:rPr>
        <w:t xml:space="preserve">10.10.2025 № 0338200009725000193), </w:t>
      </w:r>
      <w:r>
        <w:rPr>
          <w:rStyle w:val="CharStyle16"/>
        </w:rPr>
        <w:t xml:space="preserve">в результате было поставлено оборудование, не соответствующее требованиям Заказчика, с пониженной мощностью, без встроенного гальванического трансформатора. В результате односторонний отказ от исполнения контракта по инициативе Заказчика и внесение в реестр недобросовестных поставщиков. Кроме того, по жалобам недобросовестного поставщика была проведена еще и прокурорская проверка, по результатам которой Заявителю внесено Представление в котором указано о недопустимости использования оборудования, не соответствующего требований компьютерного томографа, а использование иного оборудования может привести к угрозе жизни и здоровью не только пациентов, но и медицинского персонала. Учитывая рекомендации надзорного органа заказчиком, были установлены требования к ИБП, которые подходят по характеристикам первоначально поставленного в комплекте с КТ (приложение </w:t>
      </w:r>
      <w:r>
        <w:rPr>
          <w:rStyle w:val="CharStyle16"/>
          <w:lang w:val="en-US" w:eastAsia="en-US"/>
        </w:rPr>
        <w:t xml:space="preserve">5), </w:t>
      </w:r>
      <w:r>
        <w:rPr>
          <w:rStyle w:val="CharStyle16"/>
        </w:rPr>
        <w:t>а также установлены более жесткие требования к иным компонентам входящих в состав ИБП.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both"/>
      </w:pPr>
      <w:r>
        <w:rPr>
          <w:rStyle w:val="CharStyle16"/>
        </w:rPr>
        <w:t xml:space="preserve">Опыт медицинских учреждений Камчатского края приобретения ИБП для КТ не соответствующих характеристик показал только одно, что в Камчатском крае из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КТ осталось только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исправных компьютерных томографов (три вышло из строя) и очередь уже почти </w:t>
      </w:r>
      <w:r>
        <w:rPr>
          <w:rStyle w:val="CharStyle16"/>
          <w:lang w:val="en-US" w:eastAsia="en-US"/>
        </w:rPr>
        <w:t xml:space="preserve">1100 </w:t>
      </w:r>
      <w:r>
        <w:rPr>
          <w:rStyle w:val="CharStyle16"/>
        </w:rPr>
        <w:t>человек.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both"/>
      </w:pPr>
      <w:r>
        <w:rPr>
          <w:rStyle w:val="CharStyle16"/>
        </w:rPr>
        <w:t xml:space="preserve">В результате рассмотрения жалобы и осуществления 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 системе внеплановой проверки Комиссия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В соответствии с </w:t>
      </w:r>
      <w:r>
        <w:fldChar w:fldCharType="begin"/>
      </w:r>
      <w:r>
        <w:rPr/>
        <w:instrText> HYPERLINK "https://login.consultant.ru/link/?req=doc&amp;base=LAW&amp;n=469794&amp;dst=2279" </w:instrText>
      </w:r>
      <w:r>
        <w:fldChar w:fldCharType="separate"/>
      </w: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fldChar w:fldCharType="end"/>
      </w:r>
      <w:r>
        <w:rPr>
          <w:rStyle w:val="CharStyle16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both"/>
      </w:pPr>
      <w:r>
        <w:rPr>
          <w:rStyle w:val="CharStyle16"/>
        </w:rPr>
        <w:t>Согласно</w:t>
      </w:r>
      <w:r>
        <w:fldChar w:fldCharType="begin"/>
      </w:r>
      <w:r>
        <w:rPr/>
        <w:instrText> HYPERLINK "https://login.consultant.ru/link/?req=doc&amp;base=LAW&amp;n=469794&amp;dst=2284" </w:instrText>
      </w:r>
      <w:r>
        <w:fldChar w:fldCharType="separate"/>
      </w:r>
      <w:r>
        <w:rPr>
          <w:rStyle w:val="CharStyle16"/>
        </w:rPr>
        <w:t xml:space="preserve"> пункту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fldChar w:fldCharType="end"/>
      </w:r>
      <w:r>
        <w:rPr>
          <w:rStyle w:val="CharStyle16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использования каталога товаров, работ, услуг для обеспечения государственных и муниципальных нужд, установленными в соответствии с</w:t>
      </w:r>
      <w:r>
        <w:fldChar w:fldCharType="begin"/>
      </w:r>
      <w:r>
        <w:rPr/>
        <w:instrText> HYPERLINK "https://login.consultant.ru/link/?req=doc&amp;base=LAW&amp;n=469794&amp;dst=100262" </w:instrText>
      </w:r>
      <w:r>
        <w:fldChar w:fldCharType="separate"/>
      </w:r>
      <w:r>
        <w:rPr>
          <w:rStyle w:val="CharStyle16"/>
        </w:rPr>
        <w:t xml:space="preserve"> частью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23 </w:t>
      </w:r>
      <w:r>
        <w:fldChar w:fldCharType="end"/>
      </w:r>
      <w:r>
        <w:rPr>
          <w:rStyle w:val="CharStyle16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Согласно</w:t>
      </w:r>
      <w:r>
        <w:fldChar w:fldCharType="begin"/>
      </w:r>
      <w:r>
        <w:rPr/>
        <w:instrText> HYPERLINK "https://login.consultant.ru/link/?req=doc&amp;base=LAW&amp;n=469794&amp;dst=2304" </w:instrText>
      </w:r>
      <w:r>
        <w:fldChar w:fldCharType="separate"/>
      </w:r>
      <w:r>
        <w:rPr>
          <w:rStyle w:val="CharStyle16"/>
        </w:rPr>
        <w:t xml:space="preserve"> пункту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fldChar w:fldCharType="end"/>
      </w:r>
      <w:r>
        <w:rPr>
          <w:rStyle w:val="CharStyle16"/>
        </w:rPr>
        <w:t xml:space="preserve">Закона о контрактной системе извещение об осуществлении закупки, если иное не предусмотрено настоящим Федеральным </w:t>
      </w:r>
      <w:r>
        <w:fldChar w:fldCharType="begin"/>
      </w:r>
      <w:r>
        <w:rPr/>
        <w:instrText> HYPERLINK "https://login.consultant.ru/link/?req=doc&amp;base=LAW&amp;n=469794" </w:instrText>
      </w:r>
      <w:r>
        <w:fldChar w:fldCharType="separate"/>
      </w:r>
      <w:r>
        <w:rPr>
          <w:rStyle w:val="CharStyle16"/>
        </w:rPr>
        <w:t>законом</w:t>
      </w:r>
      <w:r>
        <w:fldChar w:fldCharType="end"/>
      </w:r>
      <w:r>
        <w:rPr>
          <w:rStyle w:val="CharStyle16"/>
        </w:rPr>
        <w:t xml:space="preserve"> должно содержать описание объекта закупки в соответствии со</w:t>
      </w:r>
      <w:r>
        <w:fldChar w:fldCharType="begin"/>
      </w:r>
      <w:r>
        <w:rPr/>
        <w:instrText> HYPERLINK "https://login.consultant.ru/link/?req=doc&amp;base=LAW&amp;n=469794&amp;dst=100386" </w:instrText>
      </w:r>
      <w:r>
        <w:fldChar w:fldCharType="separate"/>
      </w:r>
      <w:r>
        <w:rPr>
          <w:rStyle w:val="CharStyle16"/>
        </w:rPr>
        <w:t xml:space="preserve"> статьей </w:t>
      </w:r>
      <w:r>
        <w:rPr>
          <w:rStyle w:val="CharStyle16"/>
          <w:lang w:val="en-US" w:eastAsia="en-US"/>
        </w:rPr>
        <w:t xml:space="preserve">33 </w:t>
      </w:r>
      <w:r>
        <w:fldChar w:fldCharType="end"/>
      </w:r>
      <w:r>
        <w:rPr>
          <w:rStyle w:val="CharStyle16"/>
        </w:rPr>
        <w:t>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В силу </w:t>
      </w:r>
      <w:r>
        <w:fldChar w:fldCharType="begin"/>
      </w:r>
      <w:r>
        <w:rPr/>
        <w:instrText> HYPERLINK "https://login.consultant.ru/link/?req=doc&amp;base=LAW&amp;n=469794&amp;dst=100262" </w:instrText>
      </w:r>
      <w:r>
        <w:fldChar w:fldCharType="separate"/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23 </w:t>
      </w:r>
      <w:r>
        <w:fldChar w:fldCharType="end"/>
      </w:r>
      <w:r>
        <w:rPr>
          <w:rStyle w:val="CharStyle16"/>
        </w:rPr>
        <w:t>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fldChar w:fldCharType="begin"/>
      </w:r>
      <w:r>
        <w:rPr/>
        <w:instrText> HYPERLINK "https://login.consultant.ru/link/?req=doc&amp;base=LAW&amp;n=443546&amp;dst=100019" </w:instrText>
      </w:r>
      <w:r>
        <w:fldChar w:fldCharType="separate"/>
      </w:r>
      <w:r>
        <w:rPr>
          <w:rStyle w:val="CharStyle16"/>
        </w:rPr>
        <w:t>Правила</w:t>
      </w:r>
      <w:r>
        <w:fldChar w:fldCharType="end"/>
      </w:r>
      <w:r>
        <w:rPr>
          <w:rStyle w:val="CharStyle16"/>
        </w:rPr>
        <w:t xml:space="preserve">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Правила формирования КТРУ) и </w:t>
      </w:r>
      <w:r>
        <w:fldChar w:fldCharType="begin"/>
      </w:r>
      <w:r>
        <w:rPr/>
        <w:instrText> HYPERLINK "https://login.consultant.ru/link/?req=doc&amp;base=LAW&amp;n=443546&amp;dst=100076" </w:instrText>
      </w:r>
      <w:r>
        <w:fldChar w:fldCharType="separate"/>
      </w:r>
      <w:r>
        <w:rPr>
          <w:rStyle w:val="CharStyle16"/>
        </w:rPr>
        <w:t>Правила</w:t>
      </w:r>
      <w:r>
        <w:fldChar w:fldCharType="end"/>
      </w:r>
      <w:r>
        <w:rPr>
          <w:rStyle w:val="CharStyle16"/>
        </w:rPr>
        <w:t xml:space="preserve"> использования каталога товаров, работ услуг для обеспечения государственных и муниципальных нужд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Правила использования КТРУ) утверждены Постановлением Правительства РФ от </w:t>
      </w:r>
      <w:r>
        <w:rPr>
          <w:rStyle w:val="CharStyle16"/>
          <w:lang w:val="en-US" w:eastAsia="en-US"/>
        </w:rPr>
        <w:t xml:space="preserve">08.02.2017 № 145 </w:t>
      </w:r>
      <w:r>
        <w:rPr>
          <w:rStyle w:val="CharStyle16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Постановление </w:t>
      </w:r>
      <w:r>
        <w:rPr>
          <w:rStyle w:val="CharStyle16"/>
          <w:lang w:val="en-US" w:eastAsia="en-US"/>
        </w:rPr>
        <w:t>№ 145).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7 </w:t>
      </w:r>
      <w:r>
        <w:rPr>
          <w:rStyle w:val="CharStyle16"/>
        </w:rPr>
        <w:t xml:space="preserve">Правил от </w:t>
      </w:r>
      <w:r>
        <w:rPr>
          <w:rStyle w:val="CharStyle16"/>
          <w:lang w:val="en-US" w:eastAsia="en-US"/>
        </w:rPr>
        <w:t xml:space="preserve">08.02.2017 № 145 </w:t>
      </w:r>
      <w:r>
        <w:rPr>
          <w:rStyle w:val="CharStyle16"/>
        </w:rPr>
        <w:t xml:space="preserve">предусмотрено,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В соответствии с</w:t>
      </w:r>
      <w:r>
        <w:fldChar w:fldCharType="begin"/>
      </w:r>
      <w:r>
        <w:rPr/>
        <w:instrText> HYPERLINK "https://login.consultant.ru/link/?req=doc&amp;base=LAW&amp;n=469794&amp;dst=12213" </w:instrText>
      </w:r>
      <w:r>
        <w:fldChar w:fldCharType="separate"/>
      </w:r>
      <w:r>
        <w:rPr>
          <w:rStyle w:val="CharStyle16"/>
        </w:rPr>
        <w:t xml:space="preserve">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fldChar w:fldCharType="end"/>
      </w:r>
      <w:r>
        <w:rPr>
          <w:rStyle w:val="CharStyle16"/>
        </w:rPr>
        <w:t>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Согласно части </w:t>
      </w:r>
      <w:r>
        <w:rPr>
          <w:rStyle w:val="CharStyle16"/>
          <w:lang w:val="en-US" w:eastAsia="en-US"/>
        </w:rPr>
        <w:t>2</w:t>
      </w:r>
      <w:r>
        <w:fldChar w:fldCharType="begin"/>
      </w:r>
      <w:r>
        <w:rPr/>
        <w:instrText> HYPERLINK "https://login.consultant.ru/link/?req=doc&amp;base=LAW&amp;n=469794&amp;dst=100386" </w:instrText>
      </w:r>
      <w:r>
        <w:fldChar w:fldCharType="separate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fldChar w:fldCharType="end"/>
      </w:r>
      <w:r>
        <w:rPr>
          <w:rStyle w:val="CharStyle16"/>
        </w:rPr>
        <w:t>Закона о контрактной системе описание объекта закупки в соответствии с требованиями, указанными в</w:t>
      </w:r>
      <w:r>
        <w:fldChar w:fldCharType="begin"/>
      </w:r>
      <w:r>
        <w:rPr/>
        <w:instrText> HYPERLINK "https://login.consultant.ru/link/?req=doc&amp;base=LAW&amp;n=469794&amp;dst=2228" </w:instrText>
      </w:r>
      <w:r>
        <w:fldChar w:fldCharType="separate"/>
      </w:r>
      <w:r>
        <w:rPr>
          <w:rStyle w:val="CharStyle16"/>
        </w:rPr>
        <w:t xml:space="preserve"> 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>настоящей статьи</w:t>
      </w:r>
      <w:r>
        <w:fldChar w:fldCharType="end"/>
      </w:r>
      <w:r>
        <w:rPr>
          <w:rStyle w:val="CharStyle16"/>
        </w:rPr>
        <w:t>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Согласно</w:t>
      </w:r>
      <w:r>
        <w:fldChar w:fldCharType="begin"/>
      </w:r>
      <w:r>
        <w:rPr/>
        <w:instrText> HYPERLINK "https://login.consultant.ru/link/?req=doc&amp;base=LAW&amp;n=469794&amp;dst=100386" </w:instrText>
      </w:r>
      <w:r>
        <w:fldChar w:fldCharType="separate"/>
      </w:r>
      <w:r>
        <w:rPr>
          <w:rStyle w:val="CharStyle16"/>
        </w:rPr>
        <w:t xml:space="preserve"> статье </w:t>
      </w:r>
      <w:r>
        <w:rPr>
          <w:rStyle w:val="CharStyle16"/>
          <w:lang w:val="en-US" w:eastAsia="en-US"/>
        </w:rPr>
        <w:t xml:space="preserve">33 </w:t>
      </w:r>
      <w:r>
        <w:fldChar w:fldCharType="end"/>
      </w:r>
      <w:r>
        <w:rPr>
          <w:rStyle w:val="CharStyle16"/>
        </w:rPr>
        <w:t>Закона о контрактной системе, при формировании технического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задания заказчику предоставлены полномочия по самостоятельному определению специфики параметров и характеристик товара в наибольшей степени удовлетворяющих его потребности.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При этом заказчик наделен правом устанавливать описание объекта закупки в объеме необходимом и достаточном для обеспечения своих нужд.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both"/>
      </w:pPr>
      <w:r>
        <w:rPr>
          <w:rStyle w:val="CharStyle16"/>
        </w:rPr>
        <w:t>Вместе с тем, установленные заказчиком требования к характеристикам товара не должны ограничивать количество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Предметом Закупки согласно извещению являлся источник бесперебойного питания для компьютерного томографа код позиции ОКПД2 </w:t>
      </w:r>
      <w:r>
        <w:rPr>
          <w:rStyle w:val="CharStyle16"/>
          <w:lang w:val="en-US" w:eastAsia="en-US"/>
        </w:rPr>
        <w:t>«26.20.40.111».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Согласно извещению о Закупке, при описании объекта Закупки Заказчик использовал информацию по позиции ОКПД2.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Выбранный код ОКПД2 соответствует потребностям Заказчика и закупаемым товарам, поскольку закупается оборудование для проведения медицинских исследований и использование его в иных целях не предусмотрено. Закупаемое оборудование обладает определенной спецификой, а также Заказчиком установлены параметры необходимые для его безопасного и рационального использования, что полностью соответствует выбранному коду ОКПД2.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Требование о соответствии кода позиции каталога информации, содержащейся в справочной информации такой позиции, не установлено, поскольку в справочной информации может содержаться (в зависимости от товара, работы, услуги) несколько различных кодов</w:t>
      </w:r>
      <w:r>
        <w:fldChar w:fldCharType="begin"/>
      </w:r>
      <w:r>
        <w:rPr/>
        <w:instrText> HYPERLINK "https://login.consultant.ru/link/?req=doc&amp;base=LAW&amp;n=468904" </w:instrText>
      </w:r>
      <w:r>
        <w:fldChar w:fldCharType="separate"/>
      </w:r>
      <w:r>
        <w:rPr>
          <w:rStyle w:val="CharStyle16"/>
        </w:rPr>
        <w:t xml:space="preserve"> ОКПД2</w:t>
      </w:r>
      <w:r>
        <w:fldChar w:fldCharType="end"/>
      </w:r>
      <w:r>
        <w:rPr>
          <w:rStyle w:val="CharStyle16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При этом наименование позиции кода ОКПД2 определяется заказчиком самостоятельно путем соотнесения предмета закупки к соответствующему коду с учетом специфики закупки в области применения.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Комиссия приходит к выводу, что установленный код ОКПД2 наиболее соответствует предмету закупки, сформированному с учетом потребности Заказчика. Описание объекта Закупки не противоречит требованиям, установленным статьей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Проанализировав доводы Заявителя и Заказчика, Комиссия приходит к выводу, что установленные требования к характеристикам Товара являются значимыми для Заказчика, а потребность в товаре с данными характеристиками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обоснованной. Необходимость поставки Товара с обозначенными характеристиками обусловлена спецификой работы заказчика. Функциональные и конструктивные характеристики товара неразрывно связаны между собой, описание Товара соответствует Закону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Согласно</w:t>
      </w:r>
      <w:r>
        <w:fldChar w:fldCharType="begin"/>
      </w:r>
      <w:r>
        <w:rPr/>
        <w:instrText> HYPERLINK "https://login.consultant.ru/link/?req=doc&amp;base=LAW&amp;n=469794&amp;dst=100386" </w:instrText>
      </w:r>
      <w:r>
        <w:fldChar w:fldCharType="separate"/>
      </w:r>
      <w:r>
        <w:rPr>
          <w:rStyle w:val="CharStyle16"/>
        </w:rPr>
        <w:t xml:space="preserve"> статье </w:t>
      </w:r>
      <w:r>
        <w:rPr>
          <w:rStyle w:val="CharStyle16"/>
          <w:lang w:val="en-US" w:eastAsia="en-US"/>
        </w:rPr>
        <w:t xml:space="preserve">33 </w:t>
      </w:r>
      <w:r>
        <w:fldChar w:fldCharType="end"/>
      </w:r>
      <w:r>
        <w:rPr>
          <w:rStyle w:val="CharStyle16"/>
        </w:rPr>
        <w:t>Закона о контрактной системе, при формировании извещения заказчику предоставлены полномочия по самостоятельному определению специфики параметров и характеристик товара в наибольшей степени удовлетворяющих его потребности. При этом заказчик наделен правом устанавливать описание объекта закупки в объеме необходимом и достаточном для обеспечения своих нужд. Вместе с тем, установленные заказчиком требования к характеристикам товара не должны ограничивать количество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Доказательств, подтверждающих ограничение количества участников закупки в связи с установленными характеристиками Товара жалоба не содержит.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В соответствии с протоколом подведения итогов закупки от </w:t>
      </w:r>
      <w:r>
        <w:rPr>
          <w:rStyle w:val="CharStyle16"/>
          <w:lang w:val="en-US" w:eastAsia="en-US"/>
        </w:rPr>
        <w:t xml:space="preserve">19.05.2026 </w:t>
      </w:r>
      <w:r>
        <w:rPr>
          <w:rStyle w:val="CharStyle16"/>
        </w:rPr>
        <w:t>на участие в аукционе поступило три заявки, признанных соответствующими требованиям извещения, что подтверждает возможность поставки товара с установленными характеристиками. Заказчиком в возражениях представлены доказательства, позволяющие поставить товар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российского производства с установленными характеристиками. Заявителем доказательств невозможности поставить товар российского производства не представлено.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 xml:space="preserve">Таким образом, описание объекта Закупки, не противоречит требованиям, установленным статьей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Учитывая изложенное, Комиссия приходит к выводу, что доводы Заявителя, изложенные в жалобе, не нашли своего подтверждения.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both"/>
      </w:pPr>
      <w:r>
        <w:rPr>
          <w:rStyle w:val="CharStyle16"/>
        </w:rPr>
        <w:t xml:space="preserve">На основании изложенного и руководствуясь частью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системе, Комиссия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0" w:name="bookmark10"/>
      <w:r>
        <w:rPr>
          <w:rStyle w:val="CharStyle20"/>
          <w:b/>
          <w:bCs/>
        </w:rPr>
        <w:t>РЕШИЛА:</w:t>
      </w:r>
      <w:bookmarkEnd w:id="1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500"/>
        <w:jc w:val="both"/>
      </w:pPr>
      <w:r>
        <w:rPr>
          <w:rStyle w:val="CharStyle16"/>
        </w:rPr>
        <w:t>Признать жалобу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6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091" w:right="539" w:bottom="1129" w:left="1099" w:header="663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518160" distL="0" distR="0" simplePos="0" relativeHeight="125829380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533400</wp:posOffset>
                </wp:positionV>
                <wp:extent cx="1828800" cy="75311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753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4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6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6"/>
                                <w:sz w:val="28"/>
                                <w:szCs w:val="28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050000000000004pt;margin-top:42.pt;width:144.pt;height:59.300000000000004pt;z-index:-125829373;mso-wrap-distance-left:0;mso-wrap-distance-top:42.pt;mso-wrap-distance-right:0;mso-wrap-distance-bottom:40.800000000000004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4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6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6"/>
                          <w:sz w:val="28"/>
                          <w:szCs w:val="28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3880" distB="1005840" distL="0" distR="0" simplePos="0" relativeHeight="125829382" behindDoc="0" locked="0" layoutInCell="1" allowOverlap="1">
                <wp:simplePos x="0" y="0"/>
                <wp:positionH relativeFrom="page">
                  <wp:posOffset>3328035</wp:posOffset>
                </wp:positionH>
                <wp:positionV relativeFrom="paragraph">
                  <wp:posOffset>563880</wp:posOffset>
                </wp:positionV>
                <wp:extent cx="1530350" cy="23495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035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333333"/>
                                <w:sz w:val="10"/>
                                <w:szCs w:val="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62.05000000000001pt;margin-top:44.399999999999999pt;width:120.5pt;height:18.5pt;z-index:-125829371;mso-wrap-distance-left:0;mso-wrap-distance-top:44.399999999999999pt;mso-wrap-distance-right:0;mso-wrap-distance-bottom:79.2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333333"/>
                          <w:sz w:val="10"/>
                          <w:szCs w:val="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44550" distB="865505" distL="0" distR="0" simplePos="0" relativeHeight="125829384" behindDoc="0" locked="0" layoutInCell="1" allowOverlap="1">
                <wp:simplePos x="0" y="0"/>
                <wp:positionH relativeFrom="page">
                  <wp:posOffset>3367405</wp:posOffset>
                </wp:positionH>
                <wp:positionV relativeFrom="paragraph">
                  <wp:posOffset>844550</wp:posOffset>
                </wp:positionV>
                <wp:extent cx="1136650" cy="9461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Georgia" w:eastAsia="Georgia" w:hAnsi="Georgia" w:cs="Georgia"/>
                                <w:color w:val="E3E3E3"/>
                                <w:sz w:val="11"/>
                                <w:szCs w:val="11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65.14999999999998pt;margin-top:66.5pt;width:89.5pt;height:7.4500000000000002pt;z-index:-125829369;mso-wrap-distance-left:0;mso-wrap-distance-top:66.5pt;mso-wrap-distance-right:0;mso-wrap-distance-bottom:68.15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Georgia" w:eastAsia="Georgia" w:hAnsi="Georgia" w:cs="Georgia"/>
                          <w:color w:val="E3E3E3"/>
                          <w:sz w:val="11"/>
                          <w:szCs w:val="11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81710" distB="551815" distL="0" distR="0" simplePos="0" relativeHeight="125829386" behindDoc="0" locked="0" layoutInCell="1" allowOverlap="1">
                <wp:simplePos x="0" y="0"/>
                <wp:positionH relativeFrom="page">
                  <wp:posOffset>2968625</wp:posOffset>
                </wp:positionH>
                <wp:positionV relativeFrom="paragraph">
                  <wp:posOffset>981710</wp:posOffset>
                </wp:positionV>
                <wp:extent cx="1950720" cy="27114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50720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595959"/>
                                <w:sz w:val="11"/>
                                <w:szCs w:val="11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sz w:val="11"/>
                                <w:szCs w:val="11"/>
                              </w:rPr>
                              <w:t>Фисенко Евгения Викторовна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595959"/>
                                <w:sz w:val="11"/>
                                <w:szCs w:val="11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333333"/>
                                <w:sz w:val="11"/>
                                <w:szCs w:val="11"/>
                              </w:rPr>
                              <w:t xml:space="preserve">№ </w:t>
                            </w: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595959"/>
                                <w:sz w:val="11"/>
                                <w:szCs w:val="11"/>
                                <w:lang w:val="en-US" w:eastAsia="en-US"/>
                              </w:rPr>
                              <w:t>00E748A8AC66C0EB9FB401CF51717A3446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595959"/>
                                <w:sz w:val="11"/>
                                <w:szCs w:val="11"/>
                              </w:rPr>
                              <w:t>Действителен с 13.01.2026 по 08.04.2027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33.75pt;margin-top:77.299999999999997pt;width:153.59999999999999pt;height:21.350000000000001pt;z-index:-125829367;mso-wrap-distance-left:0;mso-wrap-distance-top:77.299999999999997pt;mso-wrap-distance-right:0;mso-wrap-distance-bottom:43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595959"/>
                          <w:sz w:val="11"/>
                          <w:szCs w:val="11"/>
                        </w:rPr>
                        <w:t xml:space="preserve">Кому выдан: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sz w:val="11"/>
                          <w:szCs w:val="11"/>
                        </w:rPr>
                        <w:t>Фисенко Евгения Викторовна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595959"/>
                          <w:sz w:val="11"/>
                          <w:szCs w:val="11"/>
                        </w:rPr>
                        <w:t xml:space="preserve">Сертификат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333333"/>
                          <w:sz w:val="11"/>
                          <w:szCs w:val="11"/>
                        </w:rPr>
                        <w:t xml:space="preserve">№ </w:t>
                      </w:r>
                      <w:r>
                        <w:rPr>
                          <w:rStyle w:val="CharStyle3"/>
                          <w:rFonts w:ascii="Arial" w:eastAsia="Arial" w:hAnsi="Arial" w:cs="Arial"/>
                          <w:color w:val="595959"/>
                          <w:sz w:val="11"/>
                          <w:szCs w:val="11"/>
                          <w:lang w:val="en-US" w:eastAsia="en-US"/>
                        </w:rPr>
                        <w:t>00E748A8AC66C0EB9FB401CF51717A3446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595959"/>
                          <w:sz w:val="11"/>
                          <w:szCs w:val="11"/>
                        </w:rPr>
                        <w:t>Действителен с 13.01.2026 по 08.04.2027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2560" distB="158750" distL="0" distR="0" simplePos="0" relativeHeight="125829388" behindDoc="0" locked="0" layoutInCell="1" allowOverlap="1">
                <wp:simplePos x="0" y="0"/>
                <wp:positionH relativeFrom="page">
                  <wp:posOffset>3288665</wp:posOffset>
                </wp:positionH>
                <wp:positionV relativeFrom="paragraph">
                  <wp:posOffset>1432560</wp:posOffset>
                </wp:positionV>
                <wp:extent cx="1377950" cy="21336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795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Style w:val="CharStyle3"/>
                                <w:color w:val="333333"/>
                                <w:sz w:val="9"/>
                                <w:szCs w:val="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8.94999999999999pt;margin-top:112.8pt;width:108.5pt;height:16.800000000000001pt;z-index:-125829365;mso-wrap-distance-left:0;mso-wrap-distance-top:112.8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Style w:val="CharStyle3"/>
                          <w:color w:val="333333"/>
                          <w:sz w:val="9"/>
                          <w:szCs w:val="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82750" distB="30480" distL="0" distR="0" simplePos="0" relativeHeight="125829390" behindDoc="0" locked="0" layoutInCell="1" allowOverlap="1">
                <wp:simplePos x="0" y="0"/>
                <wp:positionH relativeFrom="page">
                  <wp:posOffset>3321685</wp:posOffset>
                </wp:positionH>
                <wp:positionV relativeFrom="paragraph">
                  <wp:posOffset>1682750</wp:posOffset>
                </wp:positionV>
                <wp:extent cx="1029970" cy="9144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Style w:val="CharStyle3"/>
                                <w:rFonts w:ascii="Arial" w:eastAsia="Arial" w:hAnsi="Arial" w:cs="Arial"/>
                                <w:color w:val="E3E3E3"/>
                                <w:sz w:val="10"/>
                                <w:szCs w:val="10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1.55000000000001pt;margin-top:132.5pt;width:81.100000000000009pt;height:7.2000000000000002pt;z-index:-125829363;mso-wrap-distance-left:0;mso-wrap-distance-top:132.5pt;mso-wrap-distance-right:0;mso-wrap-distance-bottom:2.39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Style w:val="CharStyle3"/>
                          <w:rFonts w:ascii="Arial" w:eastAsia="Arial" w:hAnsi="Arial" w:cs="Arial"/>
                          <w:color w:val="E3E3E3"/>
                          <w:sz w:val="10"/>
                          <w:szCs w:val="10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0" distL="0" distR="0" simplePos="0" relativeHeight="125829392" behindDoc="0" locked="0" layoutInCell="1" allowOverlap="1">
                <wp:simplePos x="0" y="0"/>
                <wp:positionH relativeFrom="page">
                  <wp:posOffset>6016625</wp:posOffset>
                </wp:positionH>
                <wp:positionV relativeFrom="paragraph">
                  <wp:posOffset>533400</wp:posOffset>
                </wp:positionV>
                <wp:extent cx="1176655" cy="127127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6655" cy="1271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6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6"/>
                                <w:sz w:val="28"/>
                                <w:szCs w:val="28"/>
                              </w:rPr>
                              <w:t>Е.В. Фисенко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6"/>
                                <w:sz w:val="28"/>
                                <w:szCs w:val="28"/>
                              </w:rPr>
                              <w:t>Л.Б. Шиханова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6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6"/>
                                <w:sz w:val="28"/>
                                <w:szCs w:val="28"/>
                              </w:rPr>
                              <w:t>С.А. Ковалева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3.75pt;margin-top:42.pt;width:92.650000000000006pt;height:100.10000000000001pt;z-index:-125829361;mso-wrap-distance-left:0;mso-wrap-distance-top:42.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6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6"/>
                          <w:sz w:val="28"/>
                          <w:szCs w:val="28"/>
                        </w:rPr>
                        <w:t>Е.В. Фисенко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6"/>
                          <w:sz w:val="28"/>
                          <w:szCs w:val="28"/>
                        </w:rPr>
                        <w:t>Л.Б. Шиханова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6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6"/>
                          <w:sz w:val="28"/>
                          <w:szCs w:val="28"/>
                        </w:rPr>
                        <w:t>С.А. Ковалева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60" w:right="0" w:firstLine="0"/>
        <w:jc w:val="left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333333"/>
          <w:sz w:val="10"/>
          <w:szCs w:val="10"/>
        </w:rPr>
        <w:t xml:space="preserve">Кому </w:t>
      </w:r>
      <w:r>
        <w:rPr>
          <w:rStyle w:val="CharStyle3"/>
          <w:rFonts w:ascii="Arial" w:eastAsia="Arial" w:hAnsi="Arial" w:cs="Arial"/>
          <w:color w:val="595959"/>
          <w:sz w:val="10"/>
          <w:szCs w:val="10"/>
        </w:rPr>
        <w:t xml:space="preserve">выдан: </w:t>
      </w:r>
      <w:r>
        <w:rPr>
          <w:rStyle w:val="CharStyle3"/>
          <w:rFonts w:ascii="Arial" w:eastAsia="Arial" w:hAnsi="Arial" w:cs="Arial"/>
          <w:sz w:val="10"/>
          <w:szCs w:val="10"/>
        </w:rPr>
        <w:t>Шиханова Лариса Борисовна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60" w:right="0" w:firstLine="0"/>
        <w:jc w:val="left"/>
        <w:rPr>
          <w:sz w:val="10"/>
          <w:szCs w:val="10"/>
        </w:rPr>
      </w:pPr>
      <w:r>
        <w:rPr>
          <w:rStyle w:val="CharStyle3"/>
          <w:rFonts w:ascii="Arial" w:eastAsia="Arial" w:hAnsi="Arial" w:cs="Arial"/>
          <w:color w:val="595959"/>
          <w:sz w:val="10"/>
          <w:szCs w:val="10"/>
        </w:rPr>
        <w:t xml:space="preserve">Сертификат </w:t>
      </w:r>
      <w:r>
        <w:rPr>
          <w:rStyle w:val="CharStyle3"/>
          <w:rFonts w:ascii="Arial" w:eastAsia="Arial" w:hAnsi="Arial" w:cs="Arial"/>
          <w:color w:val="333333"/>
          <w:sz w:val="10"/>
          <w:szCs w:val="10"/>
        </w:rPr>
        <w:t xml:space="preserve">№ </w:t>
      </w:r>
      <w:r>
        <w:rPr>
          <w:rStyle w:val="CharStyle3"/>
          <w:rFonts w:ascii="Arial" w:eastAsia="Arial" w:hAnsi="Arial" w:cs="Arial"/>
          <w:color w:val="595959"/>
          <w:sz w:val="10"/>
          <w:szCs w:val="10"/>
          <w:lang w:val="en-US" w:eastAsia="en-US"/>
        </w:rPr>
        <w:t>00E671FDDC4F3C4926B25847DA27E6C65</w:t>
      </w:r>
      <w:r>
        <w:rPr>
          <w:rStyle w:val="CharStyle3"/>
          <w:rFonts w:ascii="Arial" w:eastAsia="Arial" w:hAnsi="Arial" w:cs="Arial"/>
          <w:color w:val="595959"/>
          <w:sz w:val="10"/>
          <w:szCs w:val="10"/>
          <w:lang w:val="en-US" w:eastAsia="en-US"/>
        </w:rPr>
        <w:t>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60" w:right="0" w:firstLine="0"/>
        <w:jc w:val="left"/>
        <w:rPr>
          <w:sz w:val="10"/>
          <w:szCs w:val="1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50" w:bottom="1601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rFonts w:ascii="Arial" w:eastAsia="Arial" w:hAnsi="Arial" w:cs="Arial"/>
          <w:color w:val="595959"/>
          <w:sz w:val="10"/>
          <w:szCs w:val="10"/>
        </w:rPr>
        <w:t>Действителен с 20.11.2025 по 13.02.2027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9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4"/>
        <w:keepNext w:val="0"/>
        <w:keepLines w:val="0"/>
        <w:framePr w:w="1987" w:h="312" w:wrap="none" w:vAnchor="text" w:hAnchor="page" w:x="5377" w:y="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5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"/>
        <w:keepNext w:val="0"/>
        <w:keepLines w:val="0"/>
        <w:framePr w:w="1483" w:h="125" w:wrap="none" w:vAnchor="text" w:hAnchor="page" w:x="5425" w:y="428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Style w:val="CharStyle3"/>
          <w:color w:val="E3E3E3"/>
          <w:sz w:val="9"/>
          <w:szCs w:val="9"/>
        </w:rPr>
        <w:t>СВЕДЕНИЯ О СЕРТИФИКАТЕ ЭП</w:t>
      </w:r>
    </w:p>
    <w:p>
      <w:pPr>
        <w:pStyle w:val="Style2"/>
        <w:keepNext w:val="0"/>
        <w:keepLines w:val="0"/>
        <w:framePr w:w="2222" w:h="360" w:wrap="none" w:vAnchor="text" w:hAnchor="page" w:x="4911" w:y="601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9"/>
          <w:szCs w:val="9"/>
        </w:rPr>
      </w:pPr>
      <w:r>
        <w:rPr>
          <w:rStyle w:val="CharStyle3"/>
          <w:rFonts w:ascii="Arial" w:eastAsia="Arial" w:hAnsi="Arial" w:cs="Arial"/>
          <w:color w:val="595959"/>
          <w:sz w:val="9"/>
          <w:szCs w:val="9"/>
        </w:rPr>
        <w:t xml:space="preserve">Кому выдан: </w:t>
      </w:r>
      <w:r>
        <w:rPr>
          <w:rStyle w:val="CharStyle3"/>
          <w:sz w:val="9"/>
          <w:szCs w:val="9"/>
        </w:rPr>
        <w:t xml:space="preserve">Ковалева Светлана Александровна </w:t>
      </w:r>
      <w:r>
        <w:rPr>
          <w:rStyle w:val="CharStyle3"/>
          <w:rFonts w:ascii="Arial" w:eastAsia="Arial" w:hAnsi="Arial" w:cs="Arial"/>
          <w:color w:val="595959"/>
          <w:sz w:val="9"/>
          <w:szCs w:val="9"/>
        </w:rPr>
        <w:t xml:space="preserve">Сертификат </w:t>
      </w:r>
      <w:r>
        <w:rPr>
          <w:rStyle w:val="CharStyle3"/>
          <w:rFonts w:ascii="Arial" w:eastAsia="Arial" w:hAnsi="Arial" w:cs="Arial"/>
          <w:color w:val="333333"/>
          <w:sz w:val="9"/>
          <w:szCs w:val="9"/>
        </w:rPr>
        <w:t xml:space="preserve">№ </w:t>
      </w:r>
      <w:r>
        <w:rPr>
          <w:rStyle w:val="CharStyle3"/>
          <w:rFonts w:ascii="Arial" w:eastAsia="Arial" w:hAnsi="Arial" w:cs="Arial"/>
          <w:color w:val="595959"/>
          <w:sz w:val="9"/>
          <w:szCs w:val="9"/>
          <w:lang w:val="en-US" w:eastAsia="en-US"/>
        </w:rPr>
        <w:t>00E9BB69D92B5E4E4A9CE28D9F</w:t>
      </w:r>
      <w:r>
        <w:rPr>
          <w:rStyle w:val="CharStyle3"/>
          <w:rFonts w:ascii="Arial" w:eastAsia="Arial" w:hAnsi="Arial" w:cs="Arial"/>
          <w:color w:val="333333"/>
          <w:sz w:val="9"/>
          <w:szCs w:val="9"/>
        </w:rPr>
        <w:t>1</w:t>
      </w:r>
      <w:r>
        <w:rPr>
          <w:rStyle w:val="CharStyle3"/>
          <w:rFonts w:ascii="Arial" w:eastAsia="Arial" w:hAnsi="Arial" w:cs="Arial"/>
          <w:color w:val="595959"/>
          <w:sz w:val="9"/>
          <w:szCs w:val="9"/>
          <w:lang w:val="en-US" w:eastAsia="en-US"/>
        </w:rPr>
        <w:t>S</w:t>
      </w:r>
    </w:p>
    <w:p>
      <w:pPr>
        <w:pStyle w:val="Style2"/>
        <w:keepNext w:val="0"/>
        <w:keepLines w:val="0"/>
        <w:framePr w:w="2222" w:h="360" w:wrap="none" w:vAnchor="text" w:hAnchor="page" w:x="4911" w:y="601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rPr>
          <w:sz w:val="9"/>
          <w:szCs w:val="9"/>
        </w:rPr>
      </w:pPr>
      <w:r>
        <w:rPr>
          <w:rStyle w:val="CharStyle3"/>
          <w:rFonts w:ascii="Arial" w:eastAsia="Arial" w:hAnsi="Arial" w:cs="Arial"/>
          <w:color w:val="595959"/>
          <w:sz w:val="9"/>
          <w:szCs w:val="9"/>
        </w:rPr>
        <w:t>Действителен с 05.12.2025 по 28.02.2027</w:t>
      </w:r>
    </w:p>
    <w:p>
      <w:pPr>
        <w:pStyle w:val="Style2"/>
        <w:keepNext w:val="0"/>
        <w:keepLines w:val="0"/>
        <w:framePr w:w="2861" w:h="566" w:wrap="none" w:vAnchor="text" w:hAnchor="page" w:x="1110" w:y="4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Исп.Ковалева С.А.</w:t>
      </w:r>
    </w:p>
    <w:p>
      <w:pPr>
        <w:pStyle w:val="Style2"/>
        <w:keepNext w:val="0"/>
        <w:keepLines w:val="0"/>
        <w:framePr w:w="2861" w:h="566" w:wrap="none" w:vAnchor="text" w:hAnchor="page" w:x="1110" w:y="49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тел.8 (499) 755-23-23, 041-203</w:t>
      </w:r>
    </w:p>
    <w:p>
      <w:pPr>
        <w:widowControl w:val="0"/>
        <w:spacing w:line="360" w:lineRule="exact"/>
      </w:pPr>
      <w:r>
        <w:drawing>
          <wp:anchor distT="0" distB="0" distL="0" distR="1322705" simplePos="0" relativeHeight="62914696" behindDoc="1" locked="0" layoutInCell="1" allowOverlap="1">
            <wp:simplePos x="0" y="0"/>
            <wp:positionH relativeFrom="page">
              <wp:posOffset>3136265</wp:posOffset>
            </wp:positionH>
            <wp:positionV relativeFrom="paragraph">
              <wp:posOffset>12700</wp:posOffset>
            </wp:positionV>
            <wp:extent cx="219710" cy="25019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9710" cy="2501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97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10039350</wp:posOffset>
              </wp:positionV>
              <wp:extent cx="658495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2026-1650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99999999999999pt;margin-top:790.5pt;width:51.8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2026-1650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2026-1650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5.70000000000005pt;width:51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2026-1650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10039350</wp:posOffset>
              </wp:positionV>
              <wp:extent cx="658495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2026-1650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99999999999999pt;margin-top:790.5pt;width:51.85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2026-1650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Heading #3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  <w:lang w:val="en-US" w:eastAsia="en-US"/>
    </w:rPr>
  </w:style>
  <w:style w:type="character" w:customStyle="1" w:styleId="CharStyle35">
    <w:name w:val="Picture caption_"/>
    <w:basedOn w:val="DefaultParagraphFont"/>
    <w:link w:val="Style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33333"/>
      <w:sz w:val="8"/>
      <w:szCs w:val="8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Heading #3"/>
    <w:basedOn w:val="Normal"/>
    <w:link w:val="CharStyle20"/>
    <w:pPr>
      <w:widowControl w:val="0"/>
      <w:shd w:val="clear" w:color="auto" w:fill="auto"/>
      <w:spacing w:after="41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5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  <w:lang w:val="en-US" w:eastAsia="en-US"/>
    </w:rPr>
  </w:style>
  <w:style w:type="paragraph" w:customStyle="1" w:styleId="Style34">
    <w:name w:val="Picture caption"/>
    <w:basedOn w:val="Normal"/>
    <w:link w:val="CharStyle35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33333"/>
      <w:sz w:val="8"/>
      <w:szCs w:val="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/Relationships>
</file>