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2648585" cy="28009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8585" cy="2800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$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color w:val="46609A"/>
                                <w:sz w:val="19"/>
                                <w:szCs w:val="19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color w:val="46609A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color w:val="46609A"/>
                                <w:sz w:val="19"/>
                                <w:szCs w:val="19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color w:val="46609A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  <w:br/>
                            </w:r>
                            <w:r>
                              <w:rPr>
                                <w:rStyle w:val="CharStyle5"/>
                                <w:color w:val="46609A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color w:val="46609A"/>
                                <w:sz w:val="16"/>
                                <w:szCs w:val="16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5"/>
                                <w:color w:val="46609A"/>
                                <w:sz w:val="16"/>
                                <w:szCs w:val="16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5"/>
                                <w:color w:val="46609A"/>
                                <w:sz w:val="16"/>
                                <w:szCs w:val="16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color w:val="46609A"/>
                                <w:sz w:val="16"/>
                                <w:szCs w:val="16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0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  <w:u w:val="none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2"/>
                                <w:u w:val="none"/>
                              </w:rPr>
                              <w:t>2.05.</w:t>
                            </w:r>
                            <w:r>
                              <w:rPr>
                                <w:rStyle w:val="CharStyle12"/>
                              </w:rPr>
                              <w:t>2026</w:t>
                            </w:r>
                            <w:r>
                              <w:rPr>
                                <w:rStyle w:val="CharStyle12"/>
                                <w:u w:val="none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2"/>
                                <w:u w:val="none"/>
                              </w:rPr>
                              <w:t xml:space="preserve">№ </w:t>
                            </w:r>
                            <w:r>
                              <w:rPr>
                                <w:rStyle w:val="CharStyle12"/>
                              </w:rPr>
                              <w:t>СБ/3612/26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  <w:color w:val="46609A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75pt;margin-top:1.pt;width:208.55000000000001pt;height:220.55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$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color w:val="46609A"/>
                          <w:sz w:val="19"/>
                          <w:szCs w:val="19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color w:val="46609A"/>
                          <w:sz w:val="19"/>
                          <w:szCs w:val="19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color w:val="46609A"/>
                          <w:sz w:val="19"/>
                          <w:szCs w:val="19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5"/>
                          <w:b/>
                          <w:bCs/>
                          <w:color w:val="46609A"/>
                        </w:rPr>
                        <w:t>ул. Мира, д. 27, Ханты-Мансийск, 628012</w:t>
                        <w:br/>
                        <w:t>телефон/факс +7 (3467) 38-80-81</w:t>
                        <w:br/>
                      </w:r>
                      <w:r>
                        <w:rPr>
                          <w:rStyle w:val="CharStyle5"/>
                          <w:color w:val="46609A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color w:val="46609A"/>
                          <w:sz w:val="16"/>
                          <w:szCs w:val="16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5"/>
                          <w:color w:val="46609A"/>
                          <w:sz w:val="16"/>
                          <w:szCs w:val="16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5"/>
                          <w:color w:val="46609A"/>
                          <w:sz w:val="16"/>
                          <w:szCs w:val="16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color w:val="46609A"/>
                          <w:sz w:val="16"/>
                          <w:szCs w:val="16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10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  <w:u w:val="none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2"/>
                          <w:u w:val="none"/>
                        </w:rPr>
                        <w:t>2.05.</w:t>
                      </w:r>
                      <w:r>
                        <w:rPr>
                          <w:rStyle w:val="CharStyle12"/>
                        </w:rPr>
                        <w:t>2026</w:t>
                      </w:r>
                      <w:r>
                        <w:rPr>
                          <w:rStyle w:val="CharStyle12"/>
                          <w:u w:val="none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2"/>
                          <w:u w:val="none"/>
                        </w:rPr>
                        <w:t xml:space="preserve">№ </w:t>
                      </w:r>
                      <w:r>
                        <w:rPr>
                          <w:rStyle w:val="CharStyle12"/>
                        </w:rPr>
                        <w:t>СБ/3612/26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  <w:color w:val="46609A"/>
                        </w:rPr>
                        <w:t xml:space="preserve">На№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bookmarkStart w:id="0" w:name="bookmark0"/>
      <w:r>
        <w:rPr>
          <w:rStyle w:val="CharStyle15"/>
          <w:b/>
          <w:bCs/>
        </w:rPr>
        <w:t>Оператор ЭП:</w:t>
      </w:r>
      <w:bookmarkEnd w:id="0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20"/>
        </w:rPr>
        <w:t>АО «ЕЭТП»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20" w:right="0" w:firstLine="0"/>
        <w:jc w:val="left"/>
      </w:pPr>
      <w:r>
        <w:rPr>
          <w:rStyle w:val="CharStyle20"/>
          <w:lang w:val="en-US" w:eastAsia="en-US"/>
        </w:rPr>
        <w:t xml:space="preserve">e-mail: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20"/>
          <w:lang w:val="en-US" w:eastAsia="en-US"/>
        </w:rPr>
        <w:t>ko@roseltorg.ru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bookmarkStart w:id="2" w:name="bookmark2"/>
      <w:r>
        <w:rPr>
          <w:rStyle w:val="CharStyle15"/>
          <w:b/>
          <w:bCs/>
        </w:rPr>
        <w:t>Заявитель:</w:t>
      </w:r>
      <w:bookmarkEnd w:id="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20"/>
        </w:rPr>
        <w:t>Индивидуальный предприниматель Шахкарамян Заруи Арменовна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20"/>
        </w:rPr>
        <w:t>111675, г. Москва, ул. Святоозерская, д. 2, кв. 123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20" w:right="0" w:firstLine="0"/>
        <w:jc w:val="left"/>
      </w:pPr>
      <w:r>
        <w:rPr>
          <w:rStyle w:val="CharStyle20"/>
          <w:lang w:val="en-US" w:eastAsia="en-US"/>
        </w:rPr>
        <w:t xml:space="preserve">e-mail: </w:t>
      </w:r>
      <w:r>
        <w:fldChar w:fldCharType="begin"/>
      </w:r>
      <w:r>
        <w:rPr/>
        <w:instrText> HYPERLINK "mailto:shahkaramyan@yandex.ru" </w:instrText>
      </w:r>
      <w:r>
        <w:fldChar w:fldCharType="separate"/>
      </w:r>
      <w:r>
        <w:rPr>
          <w:rStyle w:val="CharStyle20"/>
          <w:lang w:val="en-US" w:eastAsia="en-US"/>
        </w:rPr>
        <w:t>shahkaramyan@yandex.ru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bookmarkStart w:id="4" w:name="bookmark4"/>
      <w:r>
        <w:rPr>
          <w:rStyle w:val="CharStyle15"/>
          <w:b/>
          <w:bCs/>
        </w:rPr>
        <w:t>Заказчик:</w:t>
      </w:r>
      <w:bookmarkEnd w:id="4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20"/>
        </w:rPr>
        <w:t>Казенное учреждение Ханты-Мансийского автономного округа — Югры «Центр лекарственного мониторинга»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20" w:right="0" w:firstLine="0"/>
        <w:jc w:val="left"/>
      </w:pPr>
      <w:r>
        <w:rPr>
          <w:rStyle w:val="CharStyle20"/>
        </w:rPr>
        <w:t xml:space="preserve">628400, Ханты-Мансийский автономный округ — Югра, г. Сургут, пр-кт Набережный, д. 41 </w:t>
      </w:r>
      <w:r>
        <w:rPr>
          <w:rStyle w:val="CharStyle20"/>
          <w:lang w:val="en-US" w:eastAsia="en-US"/>
        </w:rPr>
        <w:t xml:space="preserve">e-mail: </w:t>
      </w:r>
      <w:r>
        <w:fldChar w:fldCharType="begin"/>
      </w:r>
      <w:r>
        <w:rPr/>
        <w:instrText> HYPERLINK "mailto:lab-hmao@clm86.ru" </w:instrText>
      </w:r>
      <w:r>
        <w:fldChar w:fldCharType="separate"/>
      </w:r>
      <w:r>
        <w:rPr>
          <w:rStyle w:val="CharStyle20"/>
          <w:lang w:val="en-US" w:eastAsia="en-US"/>
        </w:rPr>
        <w:t>lab-hmao@clm86.ru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bookmarkStart w:id="6" w:name="bookmark6"/>
      <w:r>
        <w:rPr>
          <w:rStyle w:val="CharStyle15"/>
          <w:b/>
          <w:bCs/>
        </w:rPr>
        <w:t>Уполномоченный орган:</w:t>
      </w:r>
      <w:bookmarkEnd w:id="6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20"/>
        </w:rPr>
        <w:t>Департамент государственного заказа Ханты- Мансийского автономного округа — Югры 628011, Ханты-Мансийский автономный округ — Югра, г. Ханты-Мансийск, ул. Мира, д. 14, к. 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120" w:right="0" w:firstLine="0"/>
        <w:jc w:val="left"/>
      </w:pPr>
      <w:r>
        <w:rPr>
          <w:rStyle w:val="CharStyle20"/>
          <w:lang w:val="en-US" w:eastAsia="en-US"/>
        </w:rPr>
        <w:t xml:space="preserve">e-mail: </w:t>
      </w:r>
      <w:r>
        <w:fldChar w:fldCharType="begin"/>
      </w:r>
      <w:r>
        <w:rPr/>
        <w:instrText> HYPERLINK "mailto:dgz@admhmao.ru" </w:instrText>
      </w:r>
      <w:r>
        <w:fldChar w:fldCharType="separate"/>
      </w:r>
      <w:r>
        <w:rPr>
          <w:rStyle w:val="CharStyle20"/>
          <w:lang w:val="en-US" w:eastAsia="en-US"/>
        </w:rPr>
        <w:t>dgz@admhmao.ru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bookmarkStart w:id="8" w:name="bookmark8"/>
      <w:r>
        <w:rPr>
          <w:rStyle w:val="CharStyle15"/>
          <w:b/>
          <w:bCs/>
        </w:rPr>
        <w:t>Заинтересованное лицо:</w:t>
      </w:r>
      <w:bookmarkEnd w:id="8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20"/>
        </w:rPr>
        <w:t>АО «МедЛига»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20"/>
        </w:rPr>
        <w:t>191187, г. Сантк-Петербург, вн. тер. г.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20"/>
        </w:rPr>
        <w:t>Муниципальный Округ Литейный Округ, ул.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20" w:right="0" w:firstLine="0"/>
        <w:jc w:val="left"/>
      </w:pPr>
      <w:r>
        <w:rPr>
          <w:rStyle w:val="CharStyle20"/>
        </w:rPr>
        <w:t>Чайковского, д. 1, к. 2, литера Б, помещение 1-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20" w:right="0" w:firstLine="0"/>
        <w:jc w:val="left"/>
      </w:pPr>
      <w:r>
        <w:rPr>
          <w:rStyle w:val="CharStyle20"/>
        </w:rPr>
        <w:t xml:space="preserve">Н, комн. 218-227, этаж 4, офис 40 </w:t>
      </w:r>
      <w:r>
        <w:rPr>
          <w:rStyle w:val="CharStyle20"/>
          <w:lang w:val="en-US" w:eastAsia="en-US"/>
        </w:rPr>
        <w:t xml:space="preserve">e-mail: </w:t>
      </w:r>
      <w:r>
        <w:fldChar w:fldCharType="begin"/>
      </w:r>
      <w:r>
        <w:rPr/>
        <w:instrText> HYPERLINK "mailto:kozelskikh@medliga.ru" </w:instrText>
      </w:r>
      <w:r>
        <w:fldChar w:fldCharType="separate"/>
      </w:r>
      <w:r>
        <w:rPr>
          <w:rStyle w:val="CharStyle20"/>
          <w:lang w:val="en-US" w:eastAsia="en-US"/>
        </w:rPr>
        <w:t>kozelskikh@medliga.ru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hanging="880"/>
        <w:jc w:val="left"/>
      </w:pPr>
      <w:bookmarkStart w:id="10" w:name="bookmark10"/>
      <w:r>
        <w:rPr>
          <w:rStyle w:val="CharStyle15"/>
          <w:b/>
          <w:bCs/>
        </w:rPr>
        <w:t>РЕШЕНИЕ № 086/06/33-937/2026</w:t>
      </w:r>
      <w:bookmarkEnd w:id="10"/>
    </w:p>
    <w:p>
      <w:pPr>
        <w:pStyle w:val="Style19"/>
        <w:keepNext w:val="0"/>
        <w:keepLines w:val="0"/>
        <w:widowControl w:val="0"/>
        <w:shd w:val="clear" w:color="auto" w:fill="auto"/>
        <w:tabs>
          <w:tab w:pos="3630" w:val="left"/>
        </w:tabs>
        <w:bidi w:val="0"/>
        <w:spacing w:before="0" w:after="0" w:line="240" w:lineRule="auto"/>
        <w:ind w:left="0" w:right="0" w:hanging="4180"/>
        <w:jc w:val="left"/>
      </w:pPr>
      <w:r>
        <w:rPr>
          <w:rStyle w:val="CharStyle20"/>
        </w:rPr>
        <w:t>Резолютивная часть объявлена 19.05.2026</w:t>
        <w:tab/>
        <w:t>г. Ханты-Мансийск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hanging="4180"/>
        <w:jc w:val="left"/>
      </w:pPr>
      <w:r>
        <w:rPr>
          <w:rStyle w:val="CharStyle20"/>
        </w:rPr>
        <w:t>Изготовлено в полном объеме 22.05.2026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-4180" w:right="0" w:firstLine="700"/>
        <w:jc w:val="left"/>
      </w:pPr>
      <w:r>
        <w:rPr>
          <w:rStyle w:val="CharStyle20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480"/>
        <w:jc w:val="left"/>
      </w:pPr>
      <w:r>
        <w:rPr>
          <w:rStyle w:val="CharStyle20"/>
        </w:rPr>
        <w:t>Председатель комиссии: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198" w:val="left"/>
        </w:tabs>
        <w:bidi w:val="0"/>
        <w:spacing w:before="0" w:after="0" w:line="240" w:lineRule="auto"/>
        <w:ind w:left="0" w:right="0" w:hanging="3480"/>
        <w:jc w:val="left"/>
      </w:pPr>
      <w:r>
        <w:rPr>
          <w:rStyle w:val="CharStyle20"/>
        </w:rPr>
        <w:t>Бочков С.А. – Руководитель Ханты-Мансийского УФАС России,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480"/>
        <w:jc w:val="left"/>
      </w:pPr>
      <w:r>
        <w:rPr>
          <w:rStyle w:val="CharStyle20"/>
        </w:rPr>
        <w:t>Членов комиссии: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194" w:val="left"/>
        </w:tabs>
        <w:bidi w:val="0"/>
        <w:spacing w:before="0" w:after="0" w:line="240" w:lineRule="auto"/>
        <w:ind w:left="0" w:right="0" w:hanging="348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246" w:right="541" w:bottom="1313" w:left="53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20"/>
        </w:rPr>
        <w:t>Галиуллина Л.Г.– Главный специалист-эксперт отдела контроля закупок,</w:t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6" w:right="0" w:bottom="122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55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1935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6" w:right="541" w:bottom="1221" w:left="11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100" w:after="240" w:line="240" w:lineRule="auto"/>
        <w:ind w:left="0" w:right="0" w:firstLine="720"/>
        <w:jc w:val="both"/>
      </w:pPr>
      <w:r>
        <w:rPr>
          <w:rStyle w:val="CharStyle20"/>
        </w:rPr>
        <w:t xml:space="preserve">Шаврин А.В.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>Эксперт отдела контроля закупок,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от Заявителя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 xml:space="preserve">посредством видео-конференцсвязи Кузнецов В.А. по доверенности </w:t>
      </w:r>
      <w:r>
        <w:rPr>
          <w:rStyle w:val="CharStyle20"/>
          <w:lang w:val="en-US" w:eastAsia="en-US"/>
        </w:rPr>
        <w:t>№ 15</w:t>
        <w:softHyphen/>
        <w:t xml:space="preserve">05-26 </w:t>
      </w:r>
      <w:r>
        <w:rPr>
          <w:rStyle w:val="CharStyle20"/>
        </w:rPr>
        <w:t xml:space="preserve">от </w:t>
      </w:r>
      <w:r>
        <w:rPr>
          <w:rStyle w:val="CharStyle20"/>
          <w:lang w:val="en-US" w:eastAsia="en-US"/>
        </w:rPr>
        <w:t xml:space="preserve">15.05.2026 </w:t>
      </w:r>
      <w:r>
        <w:rPr>
          <w:rStyle w:val="CharStyle20"/>
        </w:rPr>
        <w:t>г.,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от Заказчика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 xml:space="preserve">посредством видео-конференцсвязи Еремина Т.А. по доверенности </w:t>
      </w:r>
      <w:r>
        <w:rPr>
          <w:rStyle w:val="CharStyle20"/>
          <w:lang w:val="en-US" w:eastAsia="en-US"/>
        </w:rPr>
        <w:t xml:space="preserve">№ 185 </w:t>
      </w:r>
      <w:r>
        <w:rPr>
          <w:rStyle w:val="CharStyle20"/>
        </w:rPr>
        <w:t xml:space="preserve">от </w:t>
      </w:r>
      <w:r>
        <w:rPr>
          <w:rStyle w:val="CharStyle20"/>
          <w:lang w:val="en-US" w:eastAsia="en-US"/>
        </w:rPr>
        <w:t xml:space="preserve">18.05.2026 </w:t>
      </w:r>
      <w:r>
        <w:rPr>
          <w:rStyle w:val="CharStyle20"/>
        </w:rPr>
        <w:t>г.,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от Уполномоченного органа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посредством видео-конференцсвязи Новикова Л.П. по доверенности </w:t>
      </w:r>
      <w:r>
        <w:rPr>
          <w:rStyle w:val="CharStyle20"/>
          <w:lang w:val="en-US" w:eastAsia="en-US"/>
        </w:rPr>
        <w:t xml:space="preserve">№ 17 </w:t>
      </w:r>
      <w:r>
        <w:rPr>
          <w:rStyle w:val="CharStyle20"/>
        </w:rPr>
        <w:t xml:space="preserve">от </w:t>
      </w:r>
      <w:r>
        <w:rPr>
          <w:rStyle w:val="CharStyle20"/>
          <w:lang w:val="en-US" w:eastAsia="en-US"/>
        </w:rPr>
        <w:t xml:space="preserve">08.12.2025 </w:t>
      </w:r>
      <w:r>
        <w:rPr>
          <w:rStyle w:val="CharStyle20"/>
        </w:rPr>
        <w:t>г.,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20"/>
        </w:rPr>
        <w:t xml:space="preserve">от Заинтересованного лица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посредством видео-конференцсвязи Брыжахин П.И. по доверенности </w:t>
      </w:r>
      <w:r>
        <w:rPr>
          <w:rStyle w:val="CharStyle20"/>
          <w:lang w:val="en-US" w:eastAsia="en-US"/>
        </w:rPr>
        <w:t xml:space="preserve">№ </w:t>
      </w:r>
      <w:r>
        <w:rPr>
          <w:rStyle w:val="CharStyle20"/>
        </w:rPr>
        <w:t xml:space="preserve">12/2026/МЛ от </w:t>
      </w:r>
      <w:r>
        <w:rPr>
          <w:rStyle w:val="CharStyle20"/>
          <w:lang w:val="en-US" w:eastAsia="en-US"/>
        </w:rPr>
        <w:t xml:space="preserve">05.04.2026 </w:t>
      </w:r>
      <w:r>
        <w:rPr>
          <w:rStyle w:val="CharStyle20"/>
        </w:rPr>
        <w:t>г.,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20"/>
        </w:rPr>
        <w:t xml:space="preserve">рассмотрев жалобу ИП Шахкарамян З.А. (ИНН: </w:t>
      </w:r>
      <w:r>
        <w:rPr>
          <w:rStyle w:val="CharStyle20"/>
          <w:lang w:val="en-US" w:eastAsia="en-US"/>
        </w:rPr>
        <w:t xml:space="preserve">770501103272) </w:t>
      </w:r>
      <w:r>
        <w:rPr>
          <w:rStyle w:val="CharStyle20"/>
        </w:rPr>
        <w:t xml:space="preserve">от </w:t>
      </w:r>
      <w:r>
        <w:rPr>
          <w:rStyle w:val="CharStyle20"/>
          <w:lang w:val="en-US" w:eastAsia="en-US"/>
        </w:rPr>
        <w:t xml:space="preserve">14.05.2026 № 5412/26, </w:t>
      </w:r>
      <w:r>
        <w:rPr>
          <w:rStyle w:val="CharStyle20"/>
        </w:rPr>
        <w:t xml:space="preserve">на действия Заказчика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Казенного учреждения Ханты-Мансийского автономного округа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Югры «Центр лекарственного мониторинга», Уполномоченного органа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Департамента государственного заказа Ханты-Мансийского автономного округа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Югры при проведении электронного аукциона, предметом которого является поставка медицинских изделий: стол операционный универсальный для оснащения (дооснащения) перинатальных центров и родильных домов в рамках регионального проекта «Охрана материнства и детства» (извещение </w:t>
      </w:r>
      <w:r>
        <w:rPr>
          <w:rStyle w:val="CharStyle20"/>
          <w:lang w:val="en-US" w:eastAsia="en-US"/>
        </w:rPr>
        <w:t xml:space="preserve">№ 0187200001726000489) </w:t>
      </w:r>
      <w:r>
        <w:rPr>
          <w:rStyle w:val="CharStyle20"/>
        </w:rPr>
        <w:t xml:space="preserve">и в результате осуществления внеплановой проверки в соответствии с пунктом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15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99 </w:t>
      </w:r>
      <w:r>
        <w:rPr>
          <w:rStyle w:val="CharStyle20"/>
        </w:rPr>
        <w:t xml:space="preserve">Федерального закона от </w:t>
      </w:r>
      <w:r>
        <w:rPr>
          <w:rStyle w:val="CharStyle20"/>
          <w:lang w:val="en-US" w:eastAsia="en-US"/>
        </w:rPr>
        <w:t xml:space="preserve">05.04.2013 № </w:t>
      </w:r>
      <w:r>
        <w:rPr>
          <w:rStyle w:val="CharStyle20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rStyle w:val="CharStyle15"/>
          <w:b/>
          <w:bCs/>
        </w:rPr>
        <w:t>УСТАНОВИЛА:</w:t>
      </w:r>
      <w:bookmarkEnd w:id="1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В Управление Федеральной антимонопольной службы по Ханты-Мансийскому автономному округу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 xml:space="preserve">Югре поступила жалоба ИП Шахкарамян З.А. (ИНН: </w:t>
      </w:r>
      <w:r>
        <w:rPr>
          <w:rStyle w:val="CharStyle20"/>
          <w:lang w:val="en-US" w:eastAsia="en-US"/>
        </w:rPr>
        <w:t xml:space="preserve">770501103272) </w:t>
      </w:r>
      <w:r>
        <w:rPr>
          <w:rStyle w:val="CharStyle20"/>
        </w:rPr>
        <w:t xml:space="preserve">от </w:t>
      </w:r>
      <w:r>
        <w:rPr>
          <w:rStyle w:val="CharStyle20"/>
          <w:lang w:val="en-US" w:eastAsia="en-US"/>
        </w:rPr>
        <w:t xml:space="preserve">14.05.2026 № 5412/26, </w:t>
      </w:r>
      <w:r>
        <w:rPr>
          <w:rStyle w:val="CharStyle20"/>
        </w:rPr>
        <w:t xml:space="preserve">на действия Заказчика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Казенного учреждения Ханты-Мансийского автономного округа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Югры «Центр лекарственного мониторинга», Уполномоченного органа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Департамента государственного заказа Ханты-Мансийского автономного округа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Югры при проведении электронного аукциона, предметом которого является поставка медицинских изделий: стол операционный универсальный для оснащения (дооснащения) перинатальных центров и родильных домов в рамках регионального проекта «Охрана материнства и детства» (извещение </w:t>
      </w:r>
      <w:r>
        <w:rPr>
          <w:rStyle w:val="CharStyle20"/>
          <w:lang w:val="en-US" w:eastAsia="en-US"/>
        </w:rPr>
        <w:t>№ 0187200001726000489).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В доводах жалобы Заявитель указал следующее: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  <w:color w:val="0A0A0A"/>
        </w:rPr>
        <w:t xml:space="preserve">По мнению Заявителя, описание объекта закупки технических характеристик, которые не обусловлены объективной потребностью Заказчика, ограничивают количество участников, несмотря на то, что закупаемый товар соответствует двум производителям: </w:t>
      </w:r>
      <w:r>
        <w:rPr>
          <w:rStyle w:val="CharStyle20"/>
        </w:rPr>
        <w:t xml:space="preserve">«Нанкин Майндрэй Био-Медикал Электронике Ко., Лтд.», КНР (ФСЗ </w:t>
      </w:r>
      <w:r>
        <w:rPr>
          <w:rStyle w:val="CharStyle20"/>
          <w:lang w:val="en-US" w:eastAsia="en-US"/>
        </w:rPr>
        <w:t xml:space="preserve">2011/09842, </w:t>
      </w:r>
      <w:r>
        <w:rPr>
          <w:rStyle w:val="CharStyle20"/>
        </w:rPr>
        <w:t xml:space="preserve">НКМИ: </w:t>
      </w:r>
      <w:r>
        <w:rPr>
          <w:rStyle w:val="CharStyle20"/>
          <w:lang w:val="en-US" w:eastAsia="en-US"/>
        </w:rPr>
        <w:t xml:space="preserve">162400), </w:t>
      </w:r>
      <w:r>
        <w:rPr>
          <w:rStyle w:val="CharStyle20"/>
        </w:rPr>
        <w:t xml:space="preserve">«Мернваара Корп.», Финляндия (ФСЗ </w:t>
      </w:r>
      <w:r>
        <w:rPr>
          <w:rStyle w:val="CharStyle20"/>
          <w:lang w:val="en-US" w:eastAsia="en-US"/>
        </w:rPr>
        <w:t xml:space="preserve">2008/02857, </w:t>
      </w:r>
      <w:r>
        <w:rPr>
          <w:rStyle w:val="CharStyle20"/>
        </w:rPr>
        <w:t xml:space="preserve">НКМИ: </w:t>
      </w:r>
      <w:r>
        <w:rPr>
          <w:rStyle w:val="CharStyle20"/>
          <w:lang w:val="en-US" w:eastAsia="en-US"/>
        </w:rPr>
        <w:t xml:space="preserve">162400), </w:t>
      </w:r>
      <w:r>
        <w:rPr>
          <w:rStyle w:val="CharStyle20"/>
        </w:rPr>
        <w:t>но не соответствует российским товаропроизводителям.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  <w:color w:val="0A0A0A"/>
        </w:rPr>
        <w:t>Оспариваемые характеристики Заявителем: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  <w:tab w:pos="2465" w:val="left"/>
          <w:tab w:pos="6747" w:val="left"/>
          <w:tab w:pos="8360" w:val="left"/>
          <w:tab w:pos="93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  <w:color w:val="0A0A0A"/>
        </w:rPr>
        <w:t>Заявителем</w:t>
        <w:tab/>
        <w:t>оспаривается характеристика пункта</w:t>
        <w:tab/>
      </w:r>
      <w:r>
        <w:rPr>
          <w:rStyle w:val="CharStyle20"/>
          <w:color w:val="0A0A0A"/>
          <w:lang w:val="en-US" w:eastAsia="en-US"/>
        </w:rPr>
        <w:t xml:space="preserve">13 </w:t>
      </w:r>
      <w:r>
        <w:rPr>
          <w:rStyle w:val="CharStyle20"/>
          <w:color w:val="0A0A0A"/>
        </w:rPr>
        <w:t>описания</w:t>
        <w:tab/>
        <w:t>объекта</w:t>
        <w:tab/>
        <w:t>закупки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  <w:color w:val="0A0A0A"/>
        </w:rPr>
        <w:t xml:space="preserve">«Использование обратного положения с нагрузкой до </w:t>
      </w:r>
      <w:r>
        <w:rPr>
          <w:rStyle w:val="CharStyle20"/>
          <w:color w:val="0A0A0A"/>
          <w:lang w:val="en-US" w:eastAsia="en-US"/>
        </w:rPr>
        <w:t xml:space="preserve">180 </w:t>
      </w:r>
      <w:r>
        <w:rPr>
          <w:rStyle w:val="CharStyle20"/>
          <w:color w:val="0A0A0A"/>
        </w:rPr>
        <w:t>кг без дополнительных опор»;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  <w:tab w:pos="2465" w:val="left"/>
          <w:tab w:pos="6747" w:val="left"/>
          <w:tab w:pos="8360" w:val="left"/>
          <w:tab w:pos="93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  <w:color w:val="0A0A0A"/>
        </w:rPr>
        <w:t>Заявителем</w:t>
        <w:tab/>
        <w:t>оспаривается характеристика пункта</w:t>
        <w:tab/>
      </w:r>
      <w:r>
        <w:rPr>
          <w:rStyle w:val="CharStyle20"/>
          <w:color w:val="0A0A0A"/>
          <w:lang w:val="en-US" w:eastAsia="en-US"/>
        </w:rPr>
        <w:t xml:space="preserve">48 </w:t>
      </w:r>
      <w:r>
        <w:rPr>
          <w:rStyle w:val="CharStyle20"/>
          <w:color w:val="0A0A0A"/>
        </w:rPr>
        <w:t>описания</w:t>
        <w:tab/>
        <w:t>объекта</w:t>
        <w:tab/>
        <w:t>закупки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  <w:color w:val="0A0A0A"/>
        </w:rPr>
        <w:t>«</w:t>
      </w:r>
      <w:r>
        <w:rPr>
          <w:rStyle w:val="CharStyle20"/>
        </w:rPr>
        <w:t xml:space="preserve">Электрогидравлический привод продольного сдвига столешницы в сторону головного конца </w:t>
      </w:r>
      <w:r>
        <w:rPr>
          <w:rStyle w:val="CharStyle20"/>
          <w:color w:val="0A0A0A"/>
          <w:lang w:val="en-US" w:eastAsia="en-US"/>
        </w:rPr>
        <w:t xml:space="preserve">320 </w:t>
      </w:r>
      <w:r>
        <w:rPr>
          <w:rStyle w:val="CharStyle20"/>
          <w:color w:val="0A0A0A"/>
        </w:rPr>
        <w:t>мм»;</w:t>
      </w:r>
    </w:p>
    <w:p>
      <w:pPr>
        <w:pStyle w:val="Style1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  <w:color w:val="0A0A0A"/>
        </w:rPr>
        <w:t xml:space="preserve">Заявителем оспаривается характеристика пункта </w:t>
      </w:r>
      <w:r>
        <w:rPr>
          <w:rStyle w:val="CharStyle20"/>
          <w:color w:val="0A0A0A"/>
          <w:lang w:val="en-US" w:eastAsia="en-US"/>
        </w:rPr>
        <w:t xml:space="preserve">18 </w:t>
      </w:r>
      <w:r>
        <w:rPr>
          <w:rStyle w:val="CharStyle20"/>
          <w:color w:val="0A0A0A"/>
        </w:rPr>
        <w:t>описания объекта закупки «</w:t>
      </w:r>
      <w:r>
        <w:rPr>
          <w:rStyle w:val="CharStyle20"/>
        </w:rPr>
        <w:t>Функциональные клавиши ручного пульта управления</w:t>
      </w:r>
      <w:r>
        <w:rPr>
          <w:rStyle w:val="CharStyle20"/>
          <w:color w:val="0A0A0A"/>
        </w:rPr>
        <w:t>».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20"/>
          <w:color w:val="0A0A0A"/>
        </w:rPr>
        <w:t>По мнению Заявителя, оспариваемые характеристики не соответствуют клиническому профилю учреждений-получателей.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4" w:name="bookmark14"/>
      <w:r>
        <w:rPr>
          <w:rStyle w:val="CharStyle15"/>
          <w:b/>
          <w:bCs/>
        </w:rPr>
        <w:t>В ходе рассмотрения доводов сторон, материалов дела и проведения внеплановой</w:t>
      </w:r>
      <w:bookmarkEnd w:id="14"/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  <w:b/>
          <w:bCs/>
        </w:rPr>
        <w:t>проверки, Комиссией Управления установлено следующее.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 xml:space="preserve">Согласно извещению по закупке </w:t>
      </w:r>
      <w:r>
        <w:rPr>
          <w:rStyle w:val="CharStyle26"/>
          <w:lang w:val="en-US" w:eastAsia="en-US"/>
        </w:rPr>
        <w:t xml:space="preserve">№ 0187200001726000489 </w:t>
      </w:r>
      <w:r>
        <w:rPr>
          <w:rStyle w:val="CharStyle26"/>
        </w:rPr>
        <w:t>Заказчику требуется:</w:t>
      </w:r>
    </w:p>
    <w:tbl>
      <w:tblPr>
        <w:tblOverlap w:val="never"/>
        <w:jc w:val="center"/>
        <w:tblLayout w:type="fixed"/>
      </w:tblPr>
      <w:tblGrid>
        <w:gridCol w:w="1795"/>
        <w:gridCol w:w="1435"/>
        <w:gridCol w:w="1013"/>
        <w:gridCol w:w="1258"/>
        <w:gridCol w:w="3346"/>
        <w:gridCol w:w="1474"/>
      </w:tblGrid>
      <w:tr>
        <w:trPr>
          <w:trHeight w:val="109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2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Цена за единицу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20" w:lineRule="auto"/>
              <w:ind w:left="180" w:right="0" w:firstLine="116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Количество (объем Заказчик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20" w:lineRule="auto"/>
              <w:ind w:left="148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Стоимость позиции</w:t>
            </w:r>
          </w:p>
        </w:tc>
      </w:tr>
      <w:tr>
        <w:trPr>
          <w:trHeight w:val="202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 xml:space="preserve">Стол операционный универсальный Идентификатор: </w:t>
            </w:r>
            <w:r>
              <w:rPr>
                <w:rStyle w:val="CharStyle29"/>
                <w:sz w:val="20"/>
                <w:szCs w:val="20"/>
                <w:lang w:val="en-US" w:eastAsia="en-US"/>
              </w:rPr>
              <w:t>213044416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lang w:val="en-US" w:eastAsia="en-US"/>
              </w:rPr>
              <w:t>32.50.30.110</w:t>
              <w:softHyphen/>
              <w:t>00000122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Товар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lang w:val="en-US" w:eastAsia="en-US"/>
              </w:rPr>
              <w:t>4054152.67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КАЗЕННОЕ УЧРЕЖДЕНИЕ ХАНТЫ-МАНСИЙСКОГО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 xml:space="preserve">АВТОНОМНОГО ОКРУГА </w:t>
            </w:r>
            <w:r>
              <w:rPr>
                <w:rStyle w:val="CharStyle29"/>
                <w:sz w:val="20"/>
                <w:szCs w:val="20"/>
                <w:lang w:val="en-US" w:eastAsia="en-US"/>
              </w:rPr>
              <w:t>-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tabs>
                <w:tab w:pos="29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ЮГРЫ "ЦЕНТР</w:t>
              <w:tab/>
            </w:r>
            <w:r>
              <w:rPr>
                <w:rStyle w:val="CharStyle29"/>
                <w:sz w:val="20"/>
                <w:szCs w:val="20"/>
                <w:vertAlign w:val="superscript"/>
                <w:lang w:val="en-US" w:eastAsia="en-US"/>
              </w:rPr>
              <w:t>3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ЛЕКАРСТВЕННОГО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МОНИТОРИНГА"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lang w:val="en-US" w:eastAsia="en-US"/>
              </w:rPr>
              <w:t>12162458.01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извещению Заказчиком установлено ограничение закупок товаров, происходящих из иностранных государств, выполняемых работ, оказываемых услуг иностранными лицами в соответствии с Постановлением Правительства РФ от </w:t>
      </w:r>
      <w:r>
        <w:rPr>
          <w:rStyle w:val="CharStyle20"/>
          <w:lang w:val="en-US" w:eastAsia="en-US"/>
        </w:rPr>
        <w:t xml:space="preserve">23.12.2024 № 1875 </w:t>
      </w:r>
      <w:r>
        <w:rPr>
          <w:rStyle w:val="CharStyle20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Постановление Правительства </w:t>
      </w:r>
      <w:r>
        <w:rPr>
          <w:rStyle w:val="CharStyle20"/>
          <w:lang w:val="en-US" w:eastAsia="en-US"/>
        </w:rPr>
        <w:t>№ 1875).</w:t>
      </w:r>
    </w:p>
    <w:tbl>
      <w:tblPr>
        <w:tblOverlap w:val="never"/>
        <w:jc w:val="center"/>
        <w:tblLayout w:type="fixed"/>
      </w:tblPr>
      <w:tblGrid>
        <w:gridCol w:w="2059"/>
        <w:gridCol w:w="5083"/>
        <w:gridCol w:w="3077"/>
      </w:tblGrid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Объект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Вид требования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Обоснование невозможности соблюдения запрета, ограничения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lang w:val="en-US" w:eastAsia="en-US"/>
              </w:rPr>
              <w:t>32.50.30.110-00000122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Стол операционный универсальный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В соответствии подпункта «а» пункта </w:t>
      </w:r>
      <w:r>
        <w:rPr>
          <w:rStyle w:val="CharStyle20"/>
          <w:lang w:val="en-US" w:eastAsia="en-US"/>
        </w:rPr>
        <w:t xml:space="preserve">7 </w:t>
      </w:r>
      <w:r>
        <w:rPr>
          <w:rStyle w:val="CharStyle20"/>
        </w:rPr>
        <w:t xml:space="preserve">Постановления Правительства </w:t>
      </w:r>
      <w:r>
        <w:rPr>
          <w:rStyle w:val="CharStyle20"/>
          <w:lang w:val="en-US" w:eastAsia="en-US"/>
        </w:rPr>
        <w:t xml:space="preserve">№ 1875 </w:t>
      </w:r>
      <w:r>
        <w:rPr>
          <w:rStyle w:val="CharStyle20"/>
        </w:rPr>
        <w:t>Заказчиком задекларирован факт отсутствия в реестре российской промышленности продукции товара с характеристиками, соответствующими потребности Заказчика.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В соответствии с абзацем четвертым подпункта «а» пункта </w:t>
      </w:r>
      <w:r>
        <w:rPr>
          <w:rStyle w:val="CharStyle20"/>
          <w:lang w:val="en-US" w:eastAsia="en-US"/>
        </w:rPr>
        <w:t xml:space="preserve">7 </w:t>
      </w:r>
      <w:r>
        <w:rPr>
          <w:rStyle w:val="CharStyle20"/>
        </w:rPr>
        <w:t xml:space="preserve">Постановления Правительства </w:t>
      </w:r>
      <w:r>
        <w:rPr>
          <w:rStyle w:val="CharStyle20"/>
          <w:lang w:val="en-US" w:eastAsia="en-US"/>
        </w:rPr>
        <w:t xml:space="preserve">№ 1875 </w:t>
      </w:r>
      <w:r>
        <w:rPr>
          <w:rStyle w:val="CharStyle20"/>
        </w:rPr>
        <w:t>направлено уведомление в Министерство промышленности и торговли Российской Федерации об отсутствии закупаемого товара в реестре российской промышленной продукции, которое содержит информацию о заказчике и о товаре, потребность в котором имеется у Заказчика.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 xml:space="preserve">Федерального закона от </w:t>
      </w:r>
      <w:r>
        <w:rPr>
          <w:rStyle w:val="CharStyle20"/>
          <w:lang w:val="en-US" w:eastAsia="en-US"/>
        </w:rPr>
        <w:t xml:space="preserve">05.04.2013 № </w:t>
      </w:r>
      <w:r>
        <w:rPr>
          <w:rStyle w:val="CharStyle20"/>
        </w:rPr>
        <w:t xml:space="preserve">44-ФЗ (ред. от </w:t>
      </w:r>
      <w:r>
        <w:rPr>
          <w:rStyle w:val="CharStyle20"/>
          <w:lang w:val="en-US" w:eastAsia="en-US"/>
        </w:rPr>
        <w:t xml:space="preserve">28.12.2025) </w:t>
      </w:r>
      <w:r>
        <w:rPr>
          <w:rStyle w:val="CharStyle20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>Закон о контрактной системе)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сопровождение такого указания словами «или эквивалент»;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части </w:t>
      </w:r>
      <w:r>
        <w:rPr>
          <w:rStyle w:val="CharStyle20"/>
          <w:lang w:val="en-US" w:eastAsia="en-US"/>
        </w:rPr>
        <w:t xml:space="preserve">6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23 </w:t>
      </w:r>
      <w:r>
        <w:rPr>
          <w:rStyle w:val="CharStyle20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Правил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Правила использования КТРУ) Постановления Правительства РФ от </w:t>
      </w:r>
      <w:r>
        <w:rPr>
          <w:rStyle w:val="CharStyle20"/>
          <w:lang w:val="en-US" w:eastAsia="en-US"/>
        </w:rPr>
        <w:t xml:space="preserve">08.02.2017 № 145 </w:t>
      </w:r>
      <w:r>
        <w:rPr>
          <w:rStyle w:val="CharStyle20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нужд» (далее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Постановление Правительства </w:t>
      </w:r>
      <w:r>
        <w:rPr>
          <w:rStyle w:val="CharStyle20"/>
          <w:lang w:val="en-US" w:eastAsia="en-US"/>
        </w:rPr>
        <w:t xml:space="preserve">№ 145) </w:t>
      </w:r>
      <w:r>
        <w:rPr>
          <w:rStyle w:val="CharStyle20"/>
        </w:rPr>
        <w:t xml:space="preserve">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>Федерального закона, которые не предусмотрены в позиции каталога, за исключением случаев:</w:t>
      </w:r>
    </w:p>
    <w:p>
      <w:pPr>
        <w:pStyle w:val="Style1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20"/>
          <w:lang w:val="en-US" w:eastAsia="en-US"/>
        </w:rPr>
        <w:t xml:space="preserve">25 26 </w:t>
      </w:r>
      <w:r>
        <w:rPr>
          <w:rStyle w:val="CharStyle20"/>
        </w:rPr>
        <w:t xml:space="preserve">и </w:t>
      </w:r>
      <w:r>
        <w:rPr>
          <w:rStyle w:val="CharStyle20"/>
          <w:lang w:val="en-US" w:eastAsia="en-US"/>
        </w:rPr>
        <w:t xml:space="preserve">32 </w:t>
      </w:r>
      <w:r>
        <w:rPr>
          <w:rStyle w:val="CharStyle20"/>
        </w:rPr>
        <w:t xml:space="preserve">приложения </w:t>
      </w:r>
      <w:r>
        <w:rPr>
          <w:rStyle w:val="CharStyle20"/>
          <w:lang w:val="en-US" w:eastAsia="en-US"/>
        </w:rPr>
        <w:t xml:space="preserve">№ 1 </w:t>
      </w:r>
      <w:r>
        <w:rPr>
          <w:rStyle w:val="CharStyle20"/>
        </w:rPr>
        <w:t xml:space="preserve">к постановлению Правительства Российской Федерации от </w:t>
      </w:r>
      <w:r>
        <w:rPr>
          <w:rStyle w:val="CharStyle20"/>
          <w:lang w:val="en-US" w:eastAsia="en-US"/>
        </w:rPr>
        <w:t xml:space="preserve">23 </w:t>
      </w:r>
      <w:r>
        <w:rPr>
          <w:rStyle w:val="CharStyle20"/>
        </w:rPr>
        <w:t xml:space="preserve">декабря </w:t>
      </w:r>
      <w:r>
        <w:rPr>
          <w:rStyle w:val="CharStyle20"/>
          <w:lang w:val="en-US" w:eastAsia="en-US"/>
        </w:rPr>
        <w:t xml:space="preserve">2024 </w:t>
      </w:r>
      <w:r>
        <w:rPr>
          <w:rStyle w:val="CharStyle20"/>
        </w:rPr>
        <w:t xml:space="preserve">г. </w:t>
      </w:r>
      <w:r>
        <w:rPr>
          <w:rStyle w:val="CharStyle20"/>
          <w:lang w:val="en-US" w:eastAsia="en-US"/>
        </w:rPr>
        <w:t xml:space="preserve">№ 1875 </w:t>
      </w:r>
      <w:r>
        <w:rPr>
          <w:rStyle w:val="CharStyle20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</w:t>
      </w:r>
      <w:r>
        <w:rPr>
          <w:rStyle w:val="CharStyle20"/>
          <w:lang w:val="en-US" w:eastAsia="en-US"/>
        </w:rPr>
        <w:t xml:space="preserve">191 - 361 </w:t>
      </w:r>
      <w:r>
        <w:rPr>
          <w:rStyle w:val="CharStyle20"/>
        </w:rPr>
        <w:t xml:space="preserve">приложения </w:t>
      </w:r>
      <w:r>
        <w:rPr>
          <w:rStyle w:val="CharStyle20"/>
          <w:lang w:val="en-US" w:eastAsia="en-US"/>
        </w:rPr>
        <w:t xml:space="preserve">№ 2 </w:t>
      </w:r>
      <w:r>
        <w:rPr>
          <w:rStyle w:val="CharStyle20"/>
        </w:rPr>
        <w:t xml:space="preserve">к указанному постановлению, применяются предусмотренные пунктом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>указанного постановления запрет, ограничение соответственно;</w:t>
      </w:r>
    </w:p>
    <w:p>
      <w:pPr>
        <w:pStyle w:val="Style1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>Федерального закона.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6 </w:t>
      </w:r>
      <w:r>
        <w:rPr>
          <w:rStyle w:val="CharStyle20"/>
        </w:rPr>
        <w:t xml:space="preserve">Правил использования КТРУ Постановления Правительства </w:t>
      </w:r>
      <w:r>
        <w:rPr>
          <w:rStyle w:val="CharStyle20"/>
          <w:lang w:val="en-US" w:eastAsia="en-US"/>
        </w:rPr>
        <w:t xml:space="preserve">№ 145 </w:t>
      </w:r>
      <w:r>
        <w:rPr>
          <w:rStyle w:val="CharStyle20"/>
        </w:rPr>
        <w:t xml:space="preserve">в случае предоставления дополнительной информации, предусмотренной пунктом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>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7 </w:t>
      </w:r>
      <w:r>
        <w:rPr>
          <w:rStyle w:val="CharStyle20"/>
        </w:rPr>
        <w:t xml:space="preserve">Правил использования КТРУ Постановления Правительства </w:t>
      </w:r>
      <w:r>
        <w:rPr>
          <w:rStyle w:val="CharStyle20"/>
          <w:lang w:val="en-US" w:eastAsia="en-US"/>
        </w:rPr>
        <w:t xml:space="preserve">№ 145 </w:t>
      </w:r>
      <w:r>
        <w:rPr>
          <w:rStyle w:val="CharStyle20"/>
        </w:rPr>
        <w:t xml:space="preserve">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 xml:space="preserve">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42 </w:t>
      </w:r>
      <w:r>
        <w:rPr>
          <w:rStyle w:val="CharStyle20"/>
        </w:rPr>
        <w:t xml:space="preserve">пунктом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75 </w:t>
      </w:r>
      <w:r>
        <w:rPr>
          <w:rStyle w:val="CharStyle20"/>
        </w:rPr>
        <w:t>Федерального закона соответственно.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42 </w:t>
      </w:r>
      <w:r>
        <w:rPr>
          <w:rStyle w:val="CharStyle20"/>
        </w:rPr>
        <w:t>Закона о контрактной системе при осуществлении закупки путем проведения открытых конкурентных способов заказчик формирует с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20"/>
          <w:lang w:val="en-US" w:eastAsia="en-US"/>
        </w:rPr>
        <w:t xml:space="preserve">6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23 </w:t>
      </w:r>
      <w:r>
        <w:rPr>
          <w:rStyle w:val="CharStyle20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>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91" w:right="0" w:firstLine="0"/>
        <w:jc w:val="left"/>
      </w:pPr>
      <w:r>
        <w:rPr>
          <w:rStyle w:val="CharStyle26"/>
        </w:rPr>
        <w:t>Согласно извещению Заказчиком установлен следующий Код позиции:</w:t>
      </w:r>
    </w:p>
    <w:tbl>
      <w:tblPr>
        <w:tblOverlap w:val="never"/>
        <w:jc w:val="center"/>
        <w:tblLayout w:type="fixed"/>
      </w:tblPr>
      <w:tblGrid>
        <w:gridCol w:w="1675"/>
        <w:gridCol w:w="8525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НАИМЕНОВАНИЕ ТОВАРА, РАБОТЫ, УСЛУГИ</w:t>
            </w:r>
          </w:p>
        </w:tc>
      </w:tr>
      <w:tr>
        <w:trPr>
          <w:trHeight w:val="119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lang w:val="en-US" w:eastAsia="en-US"/>
              </w:rPr>
              <w:t>32.50.30.110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lang w:val="en-US" w:eastAsia="en-US"/>
              </w:rPr>
              <w:t>32.50.30.110</w:t>
              <w:softHyphen/>
              <w:t>00000122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Стол операционный универсальный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 xml:space="preserve">Головная и ножные секции, вид </w:t>
            </w:r>
            <w:r>
              <w:rPr>
                <w:rStyle w:val="CharStyle29"/>
                <w:sz w:val="20"/>
                <w:szCs w:val="20"/>
              </w:rPr>
              <w:t>Съемные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 xml:space="preserve">Ножная секция </w:t>
            </w:r>
            <w:r>
              <w:rPr>
                <w:rStyle w:val="CharStyle29"/>
                <w:sz w:val="20"/>
                <w:szCs w:val="20"/>
              </w:rPr>
              <w:t>Раздельная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 xml:space="preserve">Тазовая секция </w:t>
            </w:r>
            <w:r>
              <w:rPr>
                <w:rStyle w:val="CharStyle29"/>
                <w:sz w:val="20"/>
                <w:szCs w:val="20"/>
              </w:rPr>
              <w:t>С гинекологическим вырезом</w:t>
            </w:r>
          </w:p>
        </w:tc>
      </w:tr>
    </w:tbl>
    <w:p>
      <w:pPr>
        <w:widowControl w:val="0"/>
        <w:spacing w:line="1" w:lineRule="exact"/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 xml:space="preserve">Позиция КТРУ </w:t>
      </w:r>
      <w:r>
        <w:rPr>
          <w:rStyle w:val="CharStyle26"/>
          <w:lang w:val="en-US" w:eastAsia="en-US"/>
        </w:rPr>
        <w:t xml:space="preserve">32.50.30.110-00000122 </w:t>
      </w:r>
      <w:r>
        <w:rPr>
          <w:rStyle w:val="CharStyle26"/>
        </w:rPr>
        <w:t>«Стол операционный универсальный» содержит обязательные для применения характеристики, а именно:</w:t>
      </w:r>
    </w:p>
    <w:tbl>
      <w:tblPr>
        <w:tblOverlap w:val="never"/>
        <w:jc w:val="center"/>
        <w:tblLayout w:type="fixed"/>
      </w:tblPr>
      <w:tblGrid>
        <w:gridCol w:w="3970"/>
        <w:gridCol w:w="2741"/>
        <w:gridCol w:w="3499"/>
      </w:tblGrid>
      <w:tr>
        <w:trPr>
          <w:trHeight w:val="5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ЕДИНИЦА ИЗМЕРЕНИЯ ХАРАКТЕРИСТИКИ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Грузоподъемность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(характеристика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lang w:val="en-US" w:eastAsia="en-US"/>
              </w:rPr>
              <w:t>&gt; 225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Килограмм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Тип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(характеристика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Мобильный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Тип ложа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(характеристика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Пятисекционная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Тип привода</w:t>
            </w:r>
          </w:p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(характеристика является обязательной для применения)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Электромеханический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Гидравлический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Электрогидравлический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</w:rPr>
        <w:t>Заказчик включил обязательные для применения характеристики в описание объекта закупки:</w:t>
      </w:r>
    </w:p>
    <w:tbl>
      <w:tblPr>
        <w:tblOverlap w:val="never"/>
        <w:jc w:val="center"/>
        <w:tblLayout w:type="fixed"/>
      </w:tblPr>
      <w:tblGrid>
        <w:gridCol w:w="2050"/>
        <w:gridCol w:w="1882"/>
        <w:gridCol w:w="1776"/>
        <w:gridCol w:w="4507"/>
      </w:tblGrid>
      <w:tr>
        <w:trPr>
          <w:trHeight w:val="254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 xml:space="preserve">Характеристики товара, работы, услуги </w:t>
            </w:r>
            <w:r>
              <w:rPr>
                <w:rStyle w:val="CharStyle29"/>
                <w:b/>
                <w:bCs/>
                <w:sz w:val="20"/>
                <w:szCs w:val="20"/>
                <w:lang w:val="en-US" w:eastAsia="en-US"/>
              </w:rPr>
              <w:t xml:space="preserve">( </w:t>
            </w:r>
            <w:r>
              <w:rPr>
                <w:rStyle w:val="CharStyle29"/>
                <w:b/>
                <w:bCs/>
                <w:sz w:val="20"/>
                <w:szCs w:val="20"/>
              </w:rPr>
              <w:t xml:space="preserve">Стол операционный универсальный </w:t>
            </w:r>
            <w:r>
              <w:rPr>
                <w:rStyle w:val="CharStyle29"/>
                <w:b/>
                <w:bCs/>
                <w:sz w:val="20"/>
                <w:szCs w:val="20"/>
                <w:lang w:val="en-US" w:eastAsia="en-US"/>
              </w:rPr>
              <w:t>)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 xml:space="preserve">Наименование </w:t>
            </w:r>
            <w:r>
              <w:rPr>
                <w:rStyle w:val="CharStyle29"/>
                <w:b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Значение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п Единица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п Инструкция по 1 Обоснование включения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24"/>
        <w:gridCol w:w="2208"/>
        <w:gridCol w:w="1747"/>
        <w:gridCol w:w="2045"/>
        <w:gridCol w:w="2386"/>
      </w:tblGrid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измерения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заполнению характеристики в заявке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b/>
                <w:bCs/>
                <w:sz w:val="20"/>
                <w:szCs w:val="20"/>
              </w:rPr>
              <w:t>дополнительной информации в сведения о товаре, работе, услуге</w:t>
            </w:r>
          </w:p>
        </w:tc>
      </w:tr>
      <w:tr>
        <w:trPr>
          <w:trHeight w:val="9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Грузоподъемность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u w:val="single"/>
                <w:lang w:val="en-US" w:eastAsia="en-US"/>
              </w:rPr>
              <w:t>&gt; 225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u w:val="single"/>
              </w:rPr>
              <w:t>Килограмм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u w:val="single"/>
              </w:rPr>
              <w:t>Тип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Мобильный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4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  <w:u w:val="single"/>
              </w:rPr>
              <w:t>Тип ложа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Пятисекционная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Тип привода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Электрогидравлический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29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20"/>
        </w:rPr>
        <w:t>Таким образом, поскольку позиция КТРУ не содержит всех необходимых Заказчику параметров для обеспечения качественно оказываемых услуг, Заказчиком в извещении самостоятельно установлены характеристики закупаемого товара и указано обоснование необходимости таких характеристик.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6" w:name="bookmark16"/>
      <w:r>
        <w:rPr>
          <w:rStyle w:val="CharStyle15"/>
          <w:b/>
          <w:bCs/>
        </w:rPr>
        <w:t>Относительно первого довода жалобы Комиссией Управления установлено следующее.</w:t>
      </w:r>
      <w:bookmarkEnd w:id="16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Заказчиком в адрес Управления была направлена сравнительная характеристика, согласно которой под описание объекта закупки подходят товары двух разных производителей:</w:t>
      </w:r>
    </w:p>
    <w:p>
      <w:pPr>
        <w:pStyle w:val="Style1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Стол операционный </w:t>
      </w:r>
      <w:r>
        <w:rPr>
          <w:rStyle w:val="CharStyle20"/>
          <w:lang w:val="en-US" w:eastAsia="en-US"/>
        </w:rPr>
        <w:t xml:space="preserve">HyBase 6100 </w:t>
      </w:r>
      <w:r>
        <w:rPr>
          <w:rStyle w:val="CharStyle20"/>
        </w:rPr>
        <w:t xml:space="preserve">с принадлежностями «Нанкин Майндрэй Био-Медикал Электронике Ко., Лтд.», КНР (ФСЗ </w:t>
      </w:r>
      <w:r>
        <w:rPr>
          <w:rStyle w:val="CharStyle20"/>
          <w:lang w:val="en-US" w:eastAsia="en-US"/>
        </w:rPr>
        <w:t xml:space="preserve">2011/09842, </w:t>
      </w:r>
      <w:r>
        <w:rPr>
          <w:rStyle w:val="CharStyle20"/>
        </w:rPr>
        <w:t xml:space="preserve">НКМИ: </w:t>
      </w:r>
      <w:r>
        <w:rPr>
          <w:rStyle w:val="CharStyle20"/>
          <w:lang w:val="en-US" w:eastAsia="en-US"/>
        </w:rPr>
        <w:t>162400);</w:t>
      </w:r>
    </w:p>
    <w:p>
      <w:pPr>
        <w:pStyle w:val="Style1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Стол операционный </w:t>
      </w:r>
      <w:r>
        <w:rPr>
          <w:rStyle w:val="CharStyle20"/>
          <w:lang w:val="en-US" w:eastAsia="en-US"/>
        </w:rPr>
        <w:t xml:space="preserve">Promerix </w:t>
      </w:r>
      <w:r>
        <w:rPr>
          <w:rStyle w:val="CharStyle20"/>
        </w:rPr>
        <w:t xml:space="preserve">с принадлежностями </w:t>
      </w:r>
      <w:r>
        <w:rPr>
          <w:rStyle w:val="CharStyle20"/>
          <w:lang w:val="en-US" w:eastAsia="en-US"/>
        </w:rPr>
        <w:t xml:space="preserve">Merivaara </w:t>
      </w:r>
      <w:r>
        <w:rPr>
          <w:rStyle w:val="CharStyle20"/>
        </w:rPr>
        <w:t xml:space="preserve">«Мернваара Корп.», Финляндия (ФСЗ </w:t>
      </w:r>
      <w:r>
        <w:rPr>
          <w:rStyle w:val="CharStyle20"/>
          <w:lang w:val="en-US" w:eastAsia="en-US"/>
        </w:rPr>
        <w:t xml:space="preserve">2008/02857, </w:t>
      </w:r>
      <w:r>
        <w:rPr>
          <w:rStyle w:val="CharStyle20"/>
        </w:rPr>
        <w:t xml:space="preserve">НКМИ: </w:t>
      </w:r>
      <w:r>
        <w:rPr>
          <w:rStyle w:val="CharStyle20"/>
          <w:lang w:val="en-US" w:eastAsia="en-US"/>
        </w:rPr>
        <w:t>162400).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Изучив инструкции </w:t>
      </w:r>
      <w:r>
        <w:rPr>
          <w:rStyle w:val="CharStyle20"/>
          <w:lang w:val="en-US" w:eastAsia="en-US"/>
        </w:rPr>
        <w:t xml:space="preserve">HyBase 6100 </w:t>
      </w:r>
      <w:r>
        <w:rPr>
          <w:rStyle w:val="CharStyle20"/>
        </w:rPr>
        <w:t xml:space="preserve">«Нанкин Майндрэй Био-Медикал Электронике Ко., Лтд.», КНР (ФСЗ </w:t>
      </w:r>
      <w:r>
        <w:rPr>
          <w:rStyle w:val="CharStyle20"/>
          <w:lang w:val="en-US" w:eastAsia="en-US"/>
        </w:rPr>
        <w:t xml:space="preserve">2011/09842, </w:t>
      </w:r>
      <w:r>
        <w:rPr>
          <w:rStyle w:val="CharStyle20"/>
        </w:rPr>
        <w:t xml:space="preserve">НКМИ: </w:t>
      </w:r>
      <w:r>
        <w:rPr>
          <w:rStyle w:val="CharStyle20"/>
          <w:lang w:val="en-US" w:eastAsia="en-US"/>
        </w:rPr>
        <w:t xml:space="preserve">162400), Promerix, Merivaara </w:t>
      </w:r>
      <w:r>
        <w:rPr>
          <w:rStyle w:val="CharStyle20"/>
        </w:rPr>
        <w:t xml:space="preserve">«Мернваара Корп.», Финляндия (ФСЗ </w:t>
      </w:r>
      <w:r>
        <w:rPr>
          <w:rStyle w:val="CharStyle20"/>
          <w:lang w:val="en-US" w:eastAsia="en-US"/>
        </w:rPr>
        <w:t xml:space="preserve">2008/02857, </w:t>
      </w:r>
      <w:r>
        <w:rPr>
          <w:rStyle w:val="CharStyle20"/>
        </w:rPr>
        <w:t xml:space="preserve">НКМИ: </w:t>
      </w:r>
      <w:r>
        <w:rPr>
          <w:rStyle w:val="CharStyle20"/>
          <w:lang w:val="en-US" w:eastAsia="en-US"/>
        </w:rPr>
        <w:t xml:space="preserve">162400), </w:t>
      </w:r>
      <w:r>
        <w:rPr>
          <w:rStyle w:val="CharStyle20"/>
        </w:rPr>
        <w:t>Комиссией Управления установлено следующее:</w:t>
      </w:r>
    </w:p>
    <w:p>
      <w:pPr>
        <w:pStyle w:val="Style1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Относительно характеристики «Использование обратного положения с нагрузкой до </w:t>
      </w:r>
      <w:r>
        <w:rPr>
          <w:rStyle w:val="CharStyle20"/>
          <w:lang w:val="en-US" w:eastAsia="en-US"/>
        </w:rPr>
        <w:t xml:space="preserve">180 </w:t>
      </w:r>
      <w:r>
        <w:rPr>
          <w:rStyle w:val="CharStyle20"/>
        </w:rPr>
        <w:t>кг без дополнительных опор»: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странице </w:t>
      </w:r>
      <w:r>
        <w:rPr>
          <w:rStyle w:val="CharStyle20"/>
          <w:lang w:val="en-US" w:eastAsia="en-US"/>
        </w:rPr>
        <w:t xml:space="preserve">271 </w:t>
      </w:r>
      <w:r>
        <w:rPr>
          <w:rStyle w:val="CharStyle20"/>
        </w:rPr>
        <w:t xml:space="preserve">файла </w:t>
      </w:r>
      <w:r>
        <w:rPr>
          <w:rStyle w:val="CharStyle20"/>
          <w:lang w:val="en-US" w:eastAsia="en-US"/>
        </w:rPr>
        <w:t xml:space="preserve">pdf. </w:t>
      </w:r>
      <w:r>
        <w:rPr>
          <w:rStyle w:val="CharStyle20"/>
        </w:rPr>
        <w:t xml:space="preserve">инструкции стола операционного </w:t>
      </w:r>
      <w:r>
        <w:rPr>
          <w:rStyle w:val="CharStyle20"/>
          <w:lang w:val="en-US" w:eastAsia="en-US"/>
        </w:rPr>
        <w:t xml:space="preserve">HyBase 6100 </w:t>
      </w:r>
      <w:r>
        <w:rPr>
          <w:rStyle w:val="CharStyle20"/>
        </w:rPr>
        <w:t xml:space="preserve">с принадлежностями «Нанкин Майндрэй Био-Медикал Электронике Ко., Лтд.», размещенной на официальном сайте Росздравнадзора (ФСЗ </w:t>
      </w:r>
      <w:r>
        <w:rPr>
          <w:rStyle w:val="CharStyle20"/>
          <w:lang w:val="en-US" w:eastAsia="en-US"/>
        </w:rPr>
        <w:t xml:space="preserve">2008/02857), </w:t>
      </w:r>
      <w:r>
        <w:rPr>
          <w:rStyle w:val="CharStyle20"/>
        </w:rPr>
        <w:t>если головная и ножная секции переставлены местами (</w:t>
      </w:r>
      <w:r>
        <w:rPr>
          <w:rStyle w:val="CharStyle20"/>
          <w:u w:val="single"/>
        </w:rPr>
        <w:t>обратное положение</w:t>
      </w:r>
      <w:r>
        <w:rPr>
          <w:rStyle w:val="CharStyle20"/>
        </w:rPr>
        <w:t xml:space="preserve">), </w:t>
      </w:r>
      <w:r>
        <w:rPr>
          <w:rStyle w:val="CharStyle20"/>
          <w:u w:val="single"/>
        </w:rPr>
        <w:t>максимальная нагрузка</w:t>
      </w:r>
      <w:r>
        <w:rPr>
          <w:rStyle w:val="CharStyle20"/>
        </w:rPr>
        <w:t xml:space="preserve"> на операционный стол </w:t>
      </w:r>
      <w:r>
        <w:rPr>
          <w:rStyle w:val="CharStyle20"/>
          <w:u w:val="single"/>
        </w:rPr>
        <w:t xml:space="preserve">составляет не более </w:t>
      </w:r>
      <w:r>
        <w:rPr>
          <w:rStyle w:val="CharStyle20"/>
          <w:u w:val="single"/>
          <w:lang w:val="en-US" w:eastAsia="en-US"/>
        </w:rPr>
        <w:t xml:space="preserve">190 </w:t>
      </w:r>
      <w:r>
        <w:rPr>
          <w:rStyle w:val="CharStyle20"/>
          <w:u w:val="single"/>
        </w:rPr>
        <w:t>кг</w:t>
      </w:r>
      <w:r>
        <w:rPr>
          <w:rStyle w:val="CharStyle20"/>
        </w:rPr>
        <w:t>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странице </w:t>
      </w:r>
      <w:r>
        <w:rPr>
          <w:rStyle w:val="CharStyle20"/>
          <w:lang w:val="en-US" w:eastAsia="en-US"/>
        </w:rPr>
        <w:t xml:space="preserve">7 </w:t>
      </w:r>
      <w:r>
        <w:rPr>
          <w:rStyle w:val="CharStyle20"/>
        </w:rPr>
        <w:t xml:space="preserve">инструкции стола операционного </w:t>
      </w:r>
      <w:r>
        <w:rPr>
          <w:rStyle w:val="CharStyle20"/>
          <w:lang w:val="en-US" w:eastAsia="en-US"/>
        </w:rPr>
        <w:t xml:space="preserve">Promerix </w:t>
      </w:r>
      <w:r>
        <w:rPr>
          <w:rStyle w:val="CharStyle20"/>
        </w:rPr>
        <w:t xml:space="preserve">с принадлежностями </w:t>
      </w:r>
      <w:r>
        <w:rPr>
          <w:rStyle w:val="CharStyle20"/>
          <w:lang w:val="en-US" w:eastAsia="en-US"/>
        </w:rPr>
        <w:t xml:space="preserve">Merivaara </w:t>
      </w:r>
      <w:r>
        <w:rPr>
          <w:rStyle w:val="CharStyle20"/>
        </w:rPr>
        <w:t xml:space="preserve">«Мернваара Корп.», размещенной на официальном сайте Росздравнадзора (ФСЗ </w:t>
      </w:r>
      <w:r>
        <w:rPr>
          <w:rStyle w:val="CharStyle20"/>
          <w:lang w:val="en-US" w:eastAsia="en-US"/>
        </w:rPr>
        <w:t xml:space="preserve">2008/02857) </w:t>
      </w:r>
      <w:r>
        <w:rPr>
          <w:rStyle w:val="CharStyle20"/>
          <w:u w:val="single"/>
        </w:rPr>
        <w:t xml:space="preserve">в реверсивном режиме максимальный вес пациента составляет </w:t>
      </w:r>
      <w:r>
        <w:rPr>
          <w:rStyle w:val="CharStyle20"/>
          <w:u w:val="single"/>
          <w:lang w:val="en-US" w:eastAsia="en-US"/>
        </w:rPr>
        <w:t xml:space="preserve">180 </w:t>
      </w:r>
      <w:r>
        <w:rPr>
          <w:rStyle w:val="CharStyle20"/>
          <w:u w:val="single"/>
        </w:rPr>
        <w:t>кг</w:t>
      </w:r>
      <w:r>
        <w:rPr>
          <w:rStyle w:val="CharStyle20"/>
        </w:rPr>
        <w:t xml:space="preserve"> </w:t>
      </w:r>
      <w:r>
        <w:rPr>
          <w:rStyle w:val="CharStyle20"/>
          <w:lang w:val="en-US" w:eastAsia="en-US"/>
        </w:rPr>
        <w:t xml:space="preserve">(400 </w:t>
      </w:r>
      <w:r>
        <w:rPr>
          <w:rStyle w:val="CharStyle20"/>
        </w:rPr>
        <w:t>фунтов).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пункту </w:t>
      </w:r>
      <w:r>
        <w:rPr>
          <w:rStyle w:val="CharStyle20"/>
          <w:lang w:val="en-US" w:eastAsia="en-US"/>
        </w:rPr>
        <w:t xml:space="preserve">5.1.3. </w:t>
      </w:r>
      <w:r>
        <w:rPr>
          <w:rStyle w:val="CharStyle20"/>
        </w:rPr>
        <w:t xml:space="preserve">«Противопоказания» инструкции стола операционного </w:t>
      </w:r>
      <w:r>
        <w:rPr>
          <w:rStyle w:val="CharStyle20"/>
          <w:lang w:val="en-US" w:eastAsia="en-US"/>
        </w:rPr>
        <w:t xml:space="preserve">Promerix </w:t>
      </w:r>
      <w:r>
        <w:rPr>
          <w:rStyle w:val="CharStyle20"/>
        </w:rPr>
        <w:t xml:space="preserve">с принадлежностями </w:t>
      </w:r>
      <w:r>
        <w:rPr>
          <w:rStyle w:val="CharStyle20"/>
          <w:lang w:val="en-US" w:eastAsia="en-US"/>
        </w:rPr>
        <w:t xml:space="preserve">Merivaara </w:t>
      </w:r>
      <w:r>
        <w:rPr>
          <w:rStyle w:val="CharStyle20"/>
        </w:rPr>
        <w:t>«Мернваара Корп.» не использовать для пациентов:</w:t>
      </w:r>
    </w:p>
    <w:p>
      <w:pPr>
        <w:pStyle w:val="Style1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Массой более </w:t>
      </w:r>
      <w:r>
        <w:rPr>
          <w:rStyle w:val="CharStyle20"/>
          <w:lang w:val="en-US" w:eastAsia="en-US"/>
        </w:rPr>
        <w:t xml:space="preserve">275 </w:t>
      </w:r>
      <w:r>
        <w:rPr>
          <w:rStyle w:val="CharStyle20"/>
        </w:rPr>
        <w:t>кг (в обычном режиме при использовании продольного перемещения).</w:t>
      </w:r>
    </w:p>
    <w:p>
      <w:pPr>
        <w:pStyle w:val="Style1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Массой более </w:t>
      </w:r>
      <w:r>
        <w:rPr>
          <w:rStyle w:val="CharStyle20"/>
          <w:lang w:val="en-US" w:eastAsia="en-US"/>
        </w:rPr>
        <w:t xml:space="preserve">325 </w:t>
      </w:r>
      <w:r>
        <w:rPr>
          <w:rStyle w:val="CharStyle20"/>
        </w:rPr>
        <w:t>кг (в обычном режиме при использовании неподвижного сиденья).</w:t>
      </w:r>
    </w:p>
    <w:p>
      <w:pPr>
        <w:pStyle w:val="Style1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  <w:u w:val="single"/>
        </w:rPr>
        <w:t xml:space="preserve">Массой более </w:t>
      </w:r>
      <w:r>
        <w:rPr>
          <w:rStyle w:val="CharStyle20"/>
          <w:u w:val="single"/>
          <w:lang w:val="en-US" w:eastAsia="en-US"/>
        </w:rPr>
        <w:t xml:space="preserve">180 </w:t>
      </w:r>
      <w:r>
        <w:rPr>
          <w:rStyle w:val="CharStyle20"/>
          <w:u w:val="single"/>
        </w:rPr>
        <w:t>кг (в реверсивном режиме</w:t>
      </w:r>
      <w:r>
        <w:rPr>
          <w:rStyle w:val="CharStyle20"/>
        </w:rPr>
        <w:t>).</w:t>
      </w:r>
    </w:p>
    <w:p>
      <w:pPr>
        <w:pStyle w:val="Style1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Относительно характеристики «Электрогидравлический привод продольного сдвига столешницы в сторону головного конца </w:t>
      </w:r>
      <w:r>
        <w:rPr>
          <w:rStyle w:val="CharStyle20"/>
          <w:color w:val="0A0A0A"/>
          <w:lang w:val="en-US" w:eastAsia="en-US"/>
        </w:rPr>
        <w:t xml:space="preserve">320 </w:t>
      </w:r>
      <w:r>
        <w:rPr>
          <w:rStyle w:val="CharStyle20"/>
          <w:color w:val="0A0A0A"/>
        </w:rPr>
        <w:t>мм»: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  <w:color w:val="0A0A0A"/>
        </w:rPr>
        <w:t xml:space="preserve">На странице </w:t>
      </w:r>
      <w:r>
        <w:rPr>
          <w:rStyle w:val="CharStyle20"/>
          <w:color w:val="0A0A0A"/>
          <w:lang w:val="en-US" w:eastAsia="en-US"/>
        </w:rPr>
        <w:t xml:space="preserve">276 </w:t>
      </w:r>
      <w:r>
        <w:rPr>
          <w:rStyle w:val="CharStyle20"/>
        </w:rPr>
        <w:t xml:space="preserve">файла </w:t>
      </w:r>
      <w:r>
        <w:rPr>
          <w:rStyle w:val="CharStyle20"/>
          <w:lang w:val="en-US" w:eastAsia="en-US"/>
        </w:rPr>
        <w:t xml:space="preserve">pdf. </w:t>
      </w:r>
      <w:r>
        <w:rPr>
          <w:rStyle w:val="CharStyle20"/>
        </w:rPr>
        <w:t xml:space="preserve">инструкции стола операционного </w:t>
      </w:r>
      <w:r>
        <w:rPr>
          <w:rStyle w:val="CharStyle20"/>
          <w:lang w:val="en-US" w:eastAsia="en-US"/>
        </w:rPr>
        <w:t xml:space="preserve">HyBase 6100 </w:t>
      </w:r>
      <w:r>
        <w:rPr>
          <w:rStyle w:val="CharStyle20"/>
        </w:rPr>
        <w:t xml:space="preserve">с принадлежностями «Нанкин Майндрэй Био-Медикал Электронике Ко., Лтд.» указано, что продольное смещение деки стола: </w:t>
      </w:r>
      <w:r>
        <w:rPr>
          <w:rStyle w:val="CharStyle20"/>
          <w:u w:val="single"/>
        </w:rPr>
        <w:t xml:space="preserve">около </w:t>
      </w:r>
      <w:r>
        <w:rPr>
          <w:rStyle w:val="CharStyle20"/>
          <w:u w:val="single"/>
          <w:lang w:val="en-US" w:eastAsia="en-US"/>
        </w:rPr>
        <w:t xml:space="preserve">320 </w:t>
      </w:r>
      <w:r>
        <w:rPr>
          <w:rStyle w:val="CharStyle20"/>
          <w:u w:val="single"/>
        </w:rPr>
        <w:t>мм</w:t>
      </w:r>
      <w:r>
        <w:rPr>
          <w:rStyle w:val="CharStyle20"/>
        </w:rPr>
        <w:t>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51120" cy="189611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5151120" cy="18961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39" w:line="1" w:lineRule="exact"/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На странице </w:t>
      </w:r>
      <w:r>
        <w:rPr>
          <w:rStyle w:val="CharStyle20"/>
          <w:lang w:val="en-US" w:eastAsia="en-US"/>
        </w:rPr>
        <w:t xml:space="preserve">44 </w:t>
      </w:r>
      <w:r>
        <w:rPr>
          <w:rStyle w:val="CharStyle20"/>
        </w:rPr>
        <w:t xml:space="preserve">инструкции стола операционного </w:t>
      </w:r>
      <w:r>
        <w:rPr>
          <w:rStyle w:val="CharStyle20"/>
          <w:lang w:val="en-US" w:eastAsia="en-US"/>
        </w:rPr>
        <w:t xml:space="preserve">Promerix </w:t>
      </w:r>
      <w:r>
        <w:rPr>
          <w:rStyle w:val="CharStyle20"/>
        </w:rPr>
        <w:t xml:space="preserve">с принадлежностями </w:t>
      </w:r>
      <w:r>
        <w:rPr>
          <w:rStyle w:val="CharStyle20"/>
          <w:lang w:val="en-US" w:eastAsia="en-US"/>
        </w:rPr>
        <w:t xml:space="preserve">Merivaara </w:t>
      </w:r>
      <w:r>
        <w:rPr>
          <w:rStyle w:val="CharStyle20"/>
        </w:rPr>
        <w:t>«Мернваара Корп.» указаны следующие характеристики: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Диапазон регулировок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5098" w:val="left"/>
        </w:tabs>
        <w:bidi w:val="0"/>
        <w:spacing w:before="0" w:after="0" w:line="240" w:lineRule="auto"/>
        <w:ind w:left="2560" w:right="0" w:firstLine="0"/>
        <w:jc w:val="both"/>
      </w:pPr>
      <w:r>
        <w:rPr>
          <w:rStyle w:val="CharStyle5"/>
        </w:rPr>
        <w:t>С ПРОДОЛЬНЫМ</w:t>
        <w:tab/>
        <w:t>НЕПОДВИЖНОЕ СИДЕНЬЕ ДОПУСК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0" w:firstLine="0"/>
        <w:jc w:val="both"/>
      </w:pPr>
      <w:r>
        <w:rPr>
          <w:rStyle w:val="CharStyle5"/>
        </w:rPr>
        <w:t>ПЕРЕМЕЩЕНИЕМ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470" w:val="left"/>
          <w:tab w:pos="5098" w:val="left"/>
          <w:tab w:pos="787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</w:rPr>
        <w:t>Высота</w:t>
        <w:tab/>
      </w:r>
      <w:r>
        <w:rPr>
          <w:rStyle w:val="CharStyle5"/>
          <w:lang w:val="en-US" w:eastAsia="en-US"/>
        </w:rPr>
        <w:t xml:space="preserve">650-1110 </w:t>
      </w:r>
      <w:r>
        <w:rPr>
          <w:rStyle w:val="CharStyle5"/>
        </w:rPr>
        <w:t>мм</w:t>
        <w:tab/>
      </w:r>
      <w:r>
        <w:rPr>
          <w:rStyle w:val="CharStyle5"/>
          <w:lang w:val="en-US" w:eastAsia="en-US"/>
        </w:rPr>
        <w:t xml:space="preserve">610-1070 </w:t>
      </w:r>
      <w:r>
        <w:rPr>
          <w:rStyle w:val="CharStyle5"/>
        </w:rPr>
        <w:t>мм</w:t>
        <w:tab/>
        <w:t xml:space="preserve">(от </w:t>
      </w:r>
      <w:r>
        <w:rPr>
          <w:rStyle w:val="CharStyle5"/>
          <w:lang w:val="en-US" w:eastAsia="en-US"/>
        </w:rPr>
        <w:t xml:space="preserve">0/+15 </w:t>
      </w:r>
      <w:r>
        <w:rPr>
          <w:rStyle w:val="CharStyle5"/>
        </w:rPr>
        <w:t xml:space="preserve">мм до </w:t>
      </w:r>
      <w:r>
        <w:rPr>
          <w:rStyle w:val="CharStyle5"/>
          <w:lang w:val="en-US" w:eastAsia="en-US"/>
        </w:rPr>
        <w:t xml:space="preserve">0/+10 </w:t>
      </w:r>
      <w:r>
        <w:rPr>
          <w:rStyle w:val="CharStyle5"/>
        </w:rPr>
        <w:t>мм)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470" w:val="left"/>
          <w:tab w:pos="5098" w:val="left"/>
          <w:tab w:pos="787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5"/>
          <w:u w:val="single"/>
        </w:rPr>
        <w:t>Продольное перемещение</w:t>
        <w:tab/>
      </w:r>
      <w:r>
        <w:rPr>
          <w:rStyle w:val="CharStyle5"/>
          <w:u w:val="single"/>
          <w:lang w:val="en-US" w:eastAsia="en-US"/>
        </w:rPr>
        <w:t xml:space="preserve">410 </w:t>
      </w:r>
      <w:r>
        <w:rPr>
          <w:rStyle w:val="CharStyle5"/>
          <w:u w:val="single"/>
        </w:rPr>
        <w:t>мм</w:t>
      </w:r>
      <w:r>
        <w:rPr>
          <w:rStyle w:val="CharStyle5"/>
        </w:rPr>
        <w:tab/>
      </w:r>
      <w:r>
        <w:rPr>
          <w:rStyle w:val="CharStyle5"/>
          <w:lang w:val="en-US" w:eastAsia="en-US"/>
        </w:rPr>
        <w:t>-</w:t>
        <w:tab/>
        <w:t xml:space="preserve">(0/-10 </w:t>
      </w:r>
      <w:r>
        <w:rPr>
          <w:rStyle w:val="CharStyle5"/>
        </w:rPr>
        <w:t>мм)</w:t>
      </w:r>
    </w:p>
    <w:p>
      <w:pPr>
        <w:pStyle w:val="Style1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750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>Относительно характеристики «Функциональные клавиши ручного пульта управления»: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>На заседании Комиссии Управления представитель Заявителя отозвал довод относительно установления Заказчиком характеристики «Функциональные клавиши ручного пульта управления», в связи с чем, довод относительно данной характеристики не подлежит рассмотрению в связи с отсутствием предмета для рассмотрения.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Таким образом, Комиссией Управления приходит к выводу, что стол операционный </w:t>
      </w:r>
      <w:r>
        <w:rPr>
          <w:rStyle w:val="CharStyle20"/>
          <w:lang w:val="en-US" w:eastAsia="en-US"/>
        </w:rPr>
        <w:t xml:space="preserve">HyBase 6100 </w:t>
      </w:r>
      <w:r>
        <w:rPr>
          <w:rStyle w:val="CharStyle20"/>
        </w:rPr>
        <w:t xml:space="preserve">с принадлежностями «Нанкин Майндрэй Био-Медикал Электронике Ко., Лтд.», Стол операционный </w:t>
      </w:r>
      <w:r>
        <w:rPr>
          <w:rStyle w:val="CharStyle20"/>
          <w:lang w:val="en-US" w:eastAsia="en-US"/>
        </w:rPr>
        <w:t xml:space="preserve">Promerix </w:t>
      </w:r>
      <w:r>
        <w:rPr>
          <w:rStyle w:val="CharStyle20"/>
        </w:rPr>
        <w:t xml:space="preserve">с принадлежностями </w:t>
      </w:r>
      <w:r>
        <w:rPr>
          <w:rStyle w:val="CharStyle20"/>
          <w:lang w:val="en-US" w:eastAsia="en-US"/>
        </w:rPr>
        <w:t xml:space="preserve">Merivaara </w:t>
      </w:r>
      <w:r>
        <w:rPr>
          <w:rStyle w:val="CharStyle20"/>
        </w:rPr>
        <w:t>«Мернваара Корп.» подходят по характеристикам, оспариваемым Заявителем, следовательно, под описание объекта закупки подходят товары двух производителей, в связи с чем, в действиях Заказчика не выявлено нарушений Закона о контрактной системе.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>На основании вышеизложенного, первый довод является необоснованным.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>Относительно довода Заявителя о том, что закупаемый товар должен соответствовать товарам российского происхождения, Комиссия Управления отмечает следующее.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В письме ФАС России от </w:t>
      </w:r>
      <w:r>
        <w:rPr>
          <w:rStyle w:val="CharStyle20"/>
          <w:lang w:val="en-US" w:eastAsia="en-US"/>
        </w:rPr>
        <w:t xml:space="preserve">21.03.2025 № 28/26176/25 </w:t>
      </w:r>
      <w:r>
        <w:rPr>
          <w:rStyle w:val="CharStyle20"/>
        </w:rPr>
        <w:t xml:space="preserve">«О рассмотрении обращения» указано, что объект закупки должен быть сформирован таким образом, чтобы совокупности характеристик товаров соответствовало </w:t>
      </w:r>
      <w:r>
        <w:rPr>
          <w:rStyle w:val="CharStyle20"/>
          <w:u w:val="single"/>
        </w:rPr>
        <w:t>несколько производителей</w:t>
      </w:r>
      <w:r>
        <w:rPr>
          <w:rStyle w:val="CharStyle20"/>
        </w:rPr>
        <w:t xml:space="preserve">, при этом товар отвечал требованиям извещения об осуществлении закупки, иное не будет отвечать совокупности требований статьи </w:t>
      </w:r>
      <w:r>
        <w:rPr>
          <w:rStyle w:val="CharStyle20"/>
          <w:lang w:val="en-US" w:eastAsia="en-US"/>
        </w:rPr>
        <w:t xml:space="preserve">33 </w:t>
      </w:r>
      <w:r>
        <w:rPr>
          <w:rStyle w:val="CharStyle20"/>
        </w:rPr>
        <w:t xml:space="preserve">Закона </w:t>
      </w:r>
      <w:r>
        <w:rPr>
          <w:rStyle w:val="CharStyle20"/>
          <w:lang w:val="en-US" w:eastAsia="en-US"/>
        </w:rPr>
        <w:t xml:space="preserve">№ </w:t>
      </w:r>
      <w:r>
        <w:rPr>
          <w:rStyle w:val="CharStyle20"/>
        </w:rPr>
        <w:t>44-ФЗ.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720"/>
        <w:jc w:val="both"/>
      </w:pPr>
      <w:r>
        <w:rPr>
          <w:rStyle w:val="CharStyle20"/>
        </w:rPr>
        <w:t xml:space="preserve">Таким образом, Комиссия Управления данный довод не принимает, поскольку в письме ФАС России от </w:t>
      </w:r>
      <w:r>
        <w:rPr>
          <w:rStyle w:val="CharStyle20"/>
          <w:lang w:val="en-US" w:eastAsia="en-US"/>
        </w:rPr>
        <w:t xml:space="preserve">21.03.2025 № 28/26176/25 </w:t>
      </w:r>
      <w:r>
        <w:rPr>
          <w:rStyle w:val="CharStyle20"/>
        </w:rPr>
        <w:t>«О рассмотрении обращения» не указано, что объект закупки должен соответствовать товарам российского происхождения.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bookmarkStart w:id="18" w:name="bookmark18"/>
      <w:r>
        <w:rPr>
          <w:rStyle w:val="CharStyle15"/>
          <w:b/>
          <w:bCs/>
        </w:rPr>
        <w:t>Относительно второго довода жалобы Комиссией Управления установлено следующее.</w:t>
      </w:r>
      <w:bookmarkEnd w:id="18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Относительно довода Заявителя о том, что </w:t>
      </w:r>
      <w:r>
        <w:rPr>
          <w:rStyle w:val="CharStyle20"/>
          <w:color w:val="0A0A0A"/>
        </w:rPr>
        <w:t>оспариваемые характеристики не соответствуют клиническому профилю учреждений-получателей</w:t>
      </w:r>
      <w:r>
        <w:rPr>
          <w:rStyle w:val="CharStyle20"/>
        </w:rPr>
        <w:t>, Комиссия Управления отмечает следующее.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0" w:right="0" w:firstLine="720"/>
        <w:jc w:val="both"/>
      </w:pPr>
      <w:r>
        <w:rPr>
          <w:rStyle w:val="CharStyle20"/>
        </w:rPr>
        <w:t xml:space="preserve">Согласно части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19 </w:t>
      </w:r>
      <w:r>
        <w:rPr>
          <w:rStyle w:val="CharStyle20"/>
        </w:rPr>
        <w:t>Закона о контрактной системе под нормированием в сфере закупок понимается установление требований к закупаемым заказчиком товарам, работам,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20"/>
        </w:rPr>
        <w:t>услугам (в том числе предельной цены товаров, работ, услуг)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(включая соответственно территориальные органы и подведомственные казенные учреждения, за исключением казенных учреждений, которым в установленном порядке формируется государственное (муниципальное) задание на оказание государственных (муниципальных) услуг, выполнение работ).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Согласно части </w:t>
      </w:r>
      <w:r>
        <w:rPr>
          <w:rStyle w:val="CharStyle20"/>
          <w:lang w:val="en-US" w:eastAsia="en-US"/>
        </w:rPr>
        <w:t xml:space="preserve">2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19 </w:t>
      </w:r>
      <w:r>
        <w:rPr>
          <w:rStyle w:val="CharStyle20"/>
        </w:rPr>
        <w:t>Закона о контрактной системе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Согласно части </w:t>
      </w:r>
      <w:r>
        <w:rPr>
          <w:rStyle w:val="CharStyle20"/>
          <w:lang w:val="en-US" w:eastAsia="en-US"/>
        </w:rPr>
        <w:t xml:space="preserve">8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 xml:space="preserve">99 </w:t>
      </w:r>
      <w:r>
        <w:rPr>
          <w:rStyle w:val="CharStyle20"/>
        </w:rPr>
        <w:t xml:space="preserve">Закона о контрактной системе Органы внутреннего государственного (муниципального) финансового контроля осуществляют контроль (за исключением контроля, предусмотренного частью </w:t>
      </w:r>
      <w:r>
        <w:rPr>
          <w:rStyle w:val="CharStyle20"/>
          <w:lang w:val="en-US" w:eastAsia="en-US"/>
        </w:rPr>
        <w:t xml:space="preserve">10 </w:t>
      </w:r>
      <w:r>
        <w:rPr>
          <w:rStyle w:val="CharStyle20"/>
        </w:rPr>
        <w:t>настоящей статьи) в отношении:</w:t>
      </w:r>
    </w:p>
    <w:p>
      <w:pPr>
        <w:pStyle w:val="Style1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9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утратил силу с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октября </w:t>
      </w:r>
      <w:r>
        <w:rPr>
          <w:rStyle w:val="CharStyle20"/>
          <w:lang w:val="en-US" w:eastAsia="en-US"/>
        </w:rPr>
        <w:t xml:space="preserve">2019 </w:t>
      </w:r>
      <w:r>
        <w:rPr>
          <w:rStyle w:val="CharStyle20"/>
        </w:rPr>
        <w:t xml:space="preserve">года.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Федеральный закон от </w:t>
      </w:r>
      <w:r>
        <w:rPr>
          <w:rStyle w:val="CharStyle20"/>
          <w:lang w:val="en-US" w:eastAsia="en-US"/>
        </w:rPr>
        <w:t xml:space="preserve">01.05.2019 № </w:t>
      </w:r>
      <w:r>
        <w:rPr>
          <w:rStyle w:val="CharStyle20"/>
        </w:rPr>
        <w:t>71-ФЗ;</w:t>
      </w:r>
    </w:p>
    <w:p>
      <w:pPr>
        <w:pStyle w:val="Style1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4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соблюдения правил нормирования в сфере закупок, установленных в соответствии со статьей </w:t>
      </w:r>
      <w:r>
        <w:rPr>
          <w:rStyle w:val="CharStyle20"/>
          <w:lang w:val="en-US" w:eastAsia="en-US"/>
        </w:rPr>
        <w:t xml:space="preserve">19 </w:t>
      </w:r>
      <w:r>
        <w:rPr>
          <w:rStyle w:val="CharStyle20"/>
        </w:rPr>
        <w:t>настоящего Федерального закона;</w:t>
      </w:r>
    </w:p>
    <w:p>
      <w:pPr>
        <w:pStyle w:val="Style1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9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>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</w:t>
      </w:r>
    </w:p>
    <w:p>
      <w:pPr>
        <w:pStyle w:val="Style1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9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утратил силу с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января </w:t>
      </w:r>
      <w:r>
        <w:rPr>
          <w:rStyle w:val="CharStyle20"/>
          <w:lang w:val="en-US" w:eastAsia="en-US"/>
        </w:rPr>
        <w:t xml:space="preserve">2020 </w:t>
      </w:r>
      <w:r>
        <w:rPr>
          <w:rStyle w:val="CharStyle20"/>
        </w:rPr>
        <w:t xml:space="preserve">года.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Федеральный закон от </w:t>
      </w:r>
      <w:r>
        <w:rPr>
          <w:rStyle w:val="CharStyle20"/>
          <w:lang w:val="en-US" w:eastAsia="en-US"/>
        </w:rPr>
        <w:t xml:space="preserve">27.12.2019 № </w:t>
      </w:r>
      <w:r>
        <w:rPr>
          <w:rStyle w:val="CharStyle20"/>
        </w:rPr>
        <w:t>449-ФЗ;</w:t>
      </w:r>
    </w:p>
    <w:p>
      <w:pPr>
        <w:pStyle w:val="Style1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9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>соблюдения предусмотренных настоящим Федеральным законом требований к исполнению, изменению контракта, а также соблюдения условий контракта, в том числе в части соответствия поставленного товара, выполненной работы (ее результата) или оказанной услуги условиям контракта;</w:t>
      </w:r>
    </w:p>
    <w:p>
      <w:pPr>
        <w:pStyle w:val="Style1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88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утратил силу с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</w:rPr>
        <w:t xml:space="preserve">января </w:t>
      </w:r>
      <w:r>
        <w:rPr>
          <w:rStyle w:val="CharStyle20"/>
          <w:lang w:val="en-US" w:eastAsia="en-US"/>
        </w:rPr>
        <w:t xml:space="preserve">2020 </w:t>
      </w:r>
      <w:r>
        <w:rPr>
          <w:rStyle w:val="CharStyle20"/>
        </w:rPr>
        <w:t xml:space="preserve">года.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Федеральный закон от </w:t>
      </w:r>
      <w:r>
        <w:rPr>
          <w:rStyle w:val="CharStyle20"/>
          <w:lang w:val="en-US" w:eastAsia="en-US"/>
        </w:rPr>
        <w:t xml:space="preserve">27.12.2019 № </w:t>
      </w:r>
      <w:r>
        <w:rPr>
          <w:rStyle w:val="CharStyle20"/>
        </w:rPr>
        <w:t>449-ФЗ;</w:t>
      </w:r>
    </w:p>
    <w:p>
      <w:pPr>
        <w:pStyle w:val="Style1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4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>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720"/>
        <w:jc w:val="both"/>
      </w:pPr>
      <w:r>
        <w:rPr>
          <w:rStyle w:val="CharStyle20"/>
        </w:rPr>
        <w:t>Таким образом, вопрос о том, наличествует ли у Заказчика потребность в закупаемом товаре с оспариваемыми характеристиками, или эта потребность чрезмерна, относится к вопросам нормирования, в связи с чем, его рассмотрение относится к компетенции Органа внутреннего государственного (муниципального) финансового контроля и не относится к компетенции Комиссии Управления.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720"/>
        <w:jc w:val="both"/>
      </w:pPr>
      <w:r>
        <w:rPr>
          <w:rStyle w:val="CharStyle20"/>
        </w:rPr>
        <w:t xml:space="preserve">Рассмотрев материалы дела, изучив представленные документы представителей сторон, руководствуясь положениями статьи </w:t>
      </w:r>
      <w:r>
        <w:rPr>
          <w:rStyle w:val="CharStyle20"/>
          <w:lang w:val="en-US" w:eastAsia="en-US"/>
        </w:rPr>
        <w:t xml:space="preserve">106 </w:t>
      </w:r>
      <w:r>
        <w:rPr>
          <w:rStyle w:val="CharStyle20"/>
        </w:rPr>
        <w:t>Закона о контрактной системе, Комиссия Управления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80" w:line="276" w:lineRule="auto"/>
        <w:ind w:left="0" w:right="0" w:firstLine="0"/>
        <w:jc w:val="center"/>
      </w:pPr>
      <w:bookmarkStart w:id="20" w:name="bookmark20"/>
      <w:r>
        <w:rPr>
          <w:rStyle w:val="CharStyle15"/>
          <w:b/>
          <w:bCs/>
        </w:rPr>
        <w:t>РЕШИЛА:</w:t>
      </w:r>
      <w:bookmarkEnd w:id="20"/>
    </w:p>
    <w:p>
      <w:pPr>
        <w:pStyle w:val="Style19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59" w:val="left"/>
        </w:tabs>
        <w:bidi w:val="0"/>
        <w:spacing w:before="0" w:after="280" w:line="276" w:lineRule="auto"/>
        <w:ind w:left="0" w:right="0" w:firstLine="720"/>
        <w:jc w:val="both"/>
      </w:pPr>
      <w:r>
        <w:rPr>
          <w:rStyle w:val="CharStyle20"/>
        </w:rPr>
        <w:t xml:space="preserve">Признать жалобу рассмотрев жалобу ИП Шахкарамян З.А. (ИНН: </w:t>
      </w:r>
      <w:r>
        <w:rPr>
          <w:rStyle w:val="CharStyle20"/>
          <w:lang w:val="en-US" w:eastAsia="en-US"/>
        </w:rPr>
        <w:t xml:space="preserve">770501103272) </w:t>
      </w:r>
      <w:r>
        <w:rPr>
          <w:rStyle w:val="CharStyle20"/>
        </w:rPr>
        <w:t xml:space="preserve">от </w:t>
      </w:r>
      <w:r>
        <w:rPr>
          <w:rStyle w:val="CharStyle20"/>
          <w:lang w:val="en-US" w:eastAsia="en-US"/>
        </w:rPr>
        <w:t xml:space="preserve">14.05.2026 № 5412/26, </w:t>
      </w:r>
      <w:r>
        <w:rPr>
          <w:rStyle w:val="CharStyle20"/>
        </w:rPr>
        <w:t xml:space="preserve">на действия Заказчика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Казенного учреждения Ханты-Мансийского автономного округа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Югры «Центр лекарственного мониторинга», Уполномоченного органа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 xml:space="preserve">Департамента государственного заказа Ханты-Мансийского автономного округа </w:t>
      </w:r>
      <w:r>
        <w:rPr>
          <w:rStyle w:val="CharStyle20"/>
          <w:lang w:val="en-US" w:eastAsia="en-US"/>
        </w:rPr>
        <w:t xml:space="preserve">— </w:t>
      </w:r>
      <w:r>
        <w:rPr>
          <w:rStyle w:val="CharStyle20"/>
        </w:rPr>
        <w:t>Югры при</w:t>
      </w:r>
      <w:r>
        <w:br w:type="page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20"/>
        </w:rPr>
        <w:t xml:space="preserve">проведении электронного аукциона, предметом которого является поставка медицинских изделий: стол операционный универсальный для оснащения (дооснащения) перинатальных центров и родильных домов в рамках регионального проекта «Охрана материнства и детства» (извещение </w:t>
      </w:r>
      <w:r>
        <w:rPr>
          <w:rStyle w:val="CharStyle20"/>
          <w:lang w:val="en-US" w:eastAsia="en-US"/>
        </w:rPr>
        <w:t xml:space="preserve">№ 0187200001726000489) </w:t>
      </w:r>
      <w:r>
        <w:rPr>
          <w:rStyle w:val="CharStyle20"/>
        </w:rPr>
        <w:t>необоснованной.</w:t>
      </w:r>
    </w:p>
    <w:p>
      <w:pPr>
        <w:pStyle w:val="Style19"/>
        <w:keepNext w:val="0"/>
        <w:keepLines w:val="0"/>
        <w:widowControl w:val="0"/>
        <w:numPr>
          <w:ilvl w:val="1"/>
          <w:numId w:val="25"/>
        </w:numPr>
        <w:shd w:val="clear" w:color="auto" w:fill="auto"/>
        <w:tabs>
          <w:tab w:pos="1270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>Первый довод является необоснованным.</w:t>
      </w:r>
    </w:p>
    <w:p>
      <w:pPr>
        <w:pStyle w:val="Style19"/>
        <w:keepNext w:val="0"/>
        <w:keepLines w:val="0"/>
        <w:widowControl w:val="0"/>
        <w:numPr>
          <w:ilvl w:val="1"/>
          <w:numId w:val="25"/>
        </w:numPr>
        <w:shd w:val="clear" w:color="auto" w:fill="auto"/>
        <w:tabs>
          <w:tab w:pos="1270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>Второй довод не относится к компетенции УФАС по ХМАО-Югре.</w:t>
      </w:r>
    </w:p>
    <w:p>
      <w:pPr>
        <w:pStyle w:val="Style19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738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>Обязательное для исполнения предписания не выдавать.</w:t>
      </w:r>
    </w:p>
    <w:p>
      <w:pPr>
        <w:pStyle w:val="Style19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88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rStyle w:val="CharStyle20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20"/>
          <w:lang w:val="en-US" w:eastAsia="en-US"/>
        </w:rPr>
        <w:t>(</w:t>
      </w:r>
      <w:r>
        <w:rPr>
          <w:rStyle w:val="CharStyle20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20"/>
          <w:lang w:val="en-US" w:eastAsia="en-US"/>
        </w:rPr>
        <w:t>).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07" w:right="487" w:bottom="1157" w:left="1075" w:header="579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0700" distB="371475" distL="0" distR="0" simplePos="0" relativeHeight="125829380" behindDoc="0" locked="0" layoutInCell="1" allowOverlap="1">
                <wp:simplePos x="0" y="0"/>
                <wp:positionH relativeFrom="page">
                  <wp:posOffset>748030</wp:posOffset>
                </wp:positionH>
                <wp:positionV relativeFrom="paragraph">
                  <wp:posOffset>520700</wp:posOffset>
                </wp:positionV>
                <wp:extent cx="1569720" cy="21971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899999999999999pt;margin-top:41.pt;width:123.60000000000001pt;height:17.300000000000001pt;z-index:-125829373;mso-wrap-distance-left:0;mso-wrap-distance-top:41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57530" distB="0" distL="0" distR="1786255" simplePos="0" relativeHeight="125829382" behindDoc="0" locked="0" layoutInCell="1" allowOverlap="1">
            <wp:simplePos x="0" y="0"/>
            <wp:positionH relativeFrom="page">
              <wp:posOffset>2631440</wp:posOffset>
            </wp:positionH>
            <wp:positionV relativeFrom="paragraph">
              <wp:posOffset>557530</wp:posOffset>
            </wp:positionV>
            <wp:extent cx="389890" cy="55499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3125470</wp:posOffset>
                </wp:positionH>
                <wp:positionV relativeFrom="paragraph">
                  <wp:posOffset>996315</wp:posOffset>
                </wp:positionV>
                <wp:extent cx="1283335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6.09999999999999pt;margin-top:78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3085465</wp:posOffset>
                </wp:positionH>
                <wp:positionV relativeFrom="paragraph">
                  <wp:posOffset>679450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2.95000000000002pt;margin-top:53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0700" distB="371475" distL="0" distR="0" simplePos="0" relativeHeight="125829383" behindDoc="0" locked="0" layoutInCell="1" allowOverlap="1">
                <wp:simplePos x="0" y="0"/>
                <wp:positionH relativeFrom="page">
                  <wp:posOffset>6393180</wp:posOffset>
                </wp:positionH>
                <wp:positionV relativeFrom="paragraph">
                  <wp:posOffset>520700</wp:posOffset>
                </wp:positionV>
                <wp:extent cx="801370" cy="21971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0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03.40000000000003pt;margin-top:41.pt;width:63.100000000000001pt;height:17.300000000000001pt;z-index:-125829370;mso-wrap-distance-left:0;mso-wrap-distance-top:41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0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Кому </w:t>
      </w:r>
      <w:r>
        <w:rPr>
          <w:rStyle w:val="CharStyle37"/>
          <w:color w:val="565656"/>
        </w:rPr>
        <w:t xml:space="preserve">выдан: </w:t>
      </w:r>
      <w:r>
        <w:rPr>
          <w:rStyle w:val="CharStyle37"/>
          <w:color w:val="000000"/>
        </w:rPr>
        <w:t>Бочков Сергей Александрович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92929"/>
        </w:rPr>
        <w:t xml:space="preserve">№ </w:t>
      </w:r>
      <w:r>
        <w:rPr>
          <w:rStyle w:val="CharStyle37"/>
          <w:lang w:val="en-US" w:eastAsia="en-US"/>
        </w:rPr>
        <w:t>3594F9724E4D48CCCC80D14CBA75D809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rStyle w:val="CharStyle37"/>
        </w:rPr>
        <w:t xml:space="preserve">Действителен с 18.02.2026 </w:t>
      </w:r>
      <w:r>
        <w:rPr>
          <w:rStyle w:val="CharStyle37"/>
          <w:color w:val="565656"/>
        </w:rPr>
        <w:t>по 14.05.2027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20"/>
        </w:rPr>
        <w:t>Члены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3125470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6.09999999999999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3085465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2.95000000000002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0"/>
        </w:rPr>
        <w:t>Л.Г. Галиуллина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Кому выдан: </w:t>
      </w:r>
      <w:r>
        <w:rPr>
          <w:rStyle w:val="CharStyle37"/>
          <w:color w:val="000000"/>
        </w:rPr>
        <w:t>Галиуллина Лиана Галеевна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92929"/>
        </w:rPr>
        <w:t xml:space="preserve">№ </w:t>
      </w:r>
      <w:r>
        <w:rPr>
          <w:rStyle w:val="CharStyle37"/>
        </w:rPr>
        <w:t>2320401</w:t>
      </w:r>
      <w:r>
        <w:rPr>
          <w:rStyle w:val="CharStyle37"/>
          <w:lang w:val="en-US" w:eastAsia="en-US"/>
        </w:rPr>
        <w:t>DA93DA6DD01D9B3601DF21DBE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37"/>
        </w:rPr>
        <w:t xml:space="preserve">Действителен с 25.06.2025 </w:t>
      </w:r>
      <w:r>
        <w:rPr>
          <w:rStyle w:val="CharStyle37"/>
          <w:color w:val="565656"/>
        </w:rPr>
        <w:t xml:space="preserve">по </w:t>
      </w:r>
      <w:r>
        <w:rPr>
          <w:rStyle w:val="CharStyle37"/>
        </w:rPr>
        <w:t>18.09.2026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3125470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6.09999999999999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3085465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42.95000000000002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0"/>
        </w:rPr>
        <w:t>А.В. Шаврин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Кому выдан: </w:t>
      </w:r>
      <w:r>
        <w:rPr>
          <w:rStyle w:val="CharStyle37"/>
          <w:color w:val="000000"/>
        </w:rPr>
        <w:t>Шаврин Александр Владимирович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Сертификат </w:t>
      </w:r>
      <w:r>
        <w:rPr>
          <w:rStyle w:val="CharStyle37"/>
          <w:color w:val="292929"/>
        </w:rPr>
        <w:t xml:space="preserve">№ </w:t>
      </w:r>
      <w:r>
        <w:rPr>
          <w:rStyle w:val="CharStyle37"/>
          <w:lang w:val="en-US" w:eastAsia="en-US"/>
        </w:rPr>
        <w:t>00C45121FBA9F083EE218EFC6C4D70B71</w:t>
      </w:r>
      <w:r>
        <w:rPr>
          <w:rStyle w:val="CharStyle37"/>
          <w:lang w:val="en-US" w:eastAsia="en-US"/>
        </w:rPr>
        <w:t>0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7"/>
        </w:rPr>
        <w:t xml:space="preserve">Действителен с 01.08.2025 </w:t>
      </w:r>
      <w:r>
        <w:rPr>
          <w:rStyle w:val="CharStyle37"/>
          <w:color w:val="565656"/>
        </w:rPr>
        <w:t xml:space="preserve">по </w:t>
      </w:r>
      <w:r>
        <w:rPr>
          <w:rStyle w:val="CharStyle37"/>
        </w:rPr>
        <w:t>25.10.2026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9854565</wp:posOffset>
              </wp:positionV>
              <wp:extent cx="64325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  <w:lang w:val="ru-RU" w:eastAsia="ru-RU"/>
                            </w:rPr>
                            <w:t>2026-3993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200000000000003pt;margin-top:775.95000000000005pt;width:50.64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  <w:lang w:val="ru-RU" w:eastAsia="ru-RU"/>
                      </w:rPr>
                      <w:t>2026-3993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732790</wp:posOffset>
              </wp:positionH>
              <wp:positionV relativeFrom="page">
                <wp:posOffset>10022840</wp:posOffset>
              </wp:positionV>
              <wp:extent cx="643255" cy="10668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2026-3993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700000000000003pt;margin-top:789.20000000000005pt;width:50.649999999999999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2026-3993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A0A0A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A0A0A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5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character" w:customStyle="1" w:styleId="CharStyle5">
    <w:name w:val="Body text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 (4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Heading #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0">
    <w:name w:val="Body text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Table caption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Other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7">
    <w:name w:val="Body text (3)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paragraph" w:customStyle="1" w:styleId="Style4">
    <w:name w:val="Body text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 (4)"/>
    <w:basedOn w:val="Normal"/>
    <w:link w:val="CharStyle10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19">
    <w:name w:val="Body text"/>
    <w:basedOn w:val="Normal"/>
    <w:link w:val="CharStyle2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Table caption"/>
    <w:basedOn w:val="Normal"/>
    <w:link w:val="CharStyle26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Other"/>
    <w:basedOn w:val="Normal"/>
    <w:link w:val="CharStyle2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6">
    <w:name w:val="Body text (3)"/>
    <w:basedOn w:val="Normal"/>
    <w:link w:val="CharStyle3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1.pn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