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4864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5" w:bottom="942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left"/>
      </w:pPr>
      <w:r>
        <w:rPr>
          <w:rStyle w:val="CharStyle6"/>
          <w:b/>
          <w:bCs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580"/>
        <w:jc w:val="left"/>
      </w:pPr>
      <w:r>
        <w:rPr>
          <w:rStyle w:val="CharStyle6"/>
        </w:rPr>
        <w:t xml:space="preserve">г. Нижний Новгород, 603000 тел. (831) 431-73-73, (831) 431-73-83 </w:t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u w:val="none"/>
        </w:rPr>
        <w:t>5.0</w:t>
      </w:r>
      <w:r>
        <w:rPr>
          <w:rStyle w:val="CharStyle10"/>
        </w:rPr>
        <w:t>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ИК/10484/</w:t>
      </w:r>
      <w:r>
        <w:rPr>
          <w:rStyle w:val="CharStyle10"/>
          <w:u w:val="none"/>
        </w:rPr>
        <w:t>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ООО "МЕДИАНА" </w:t>
      </w:r>
      <w:r>
        <w:fldChar w:fldCharType="begin"/>
      </w:r>
      <w:r>
        <w:rPr/>
        <w:instrText> HYPERLINK "mailto:mediana-nn@mail.ru"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mediana-nn@mail.ru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ГП "НОФ"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603001 г.Нижний Новгород, ул.Почаинская д.14А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nof@gpnof.ru</w:t>
      </w:r>
      <w:r>
        <w:fldChar w:fldCharType="end"/>
      </w:r>
      <w:r>
        <w:rPr>
          <w:rStyle w:val="CharStyle13"/>
          <w:sz w:val="28"/>
          <w:szCs w:val="28"/>
          <w:lang w:val="en-US" w:eastAsia="en-US"/>
        </w:rPr>
        <w:t xml:space="preserve"> </w:t>
      </w:r>
      <w:r>
        <w:fldChar w:fldCharType="begin"/>
      </w:r>
      <w:r>
        <w:rPr/>
        <w:instrText> HYPERLINK "mailto:kondratev@gpnof.ru"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kondratev@gpnof.ru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117342, город Москва, Миклухо-Маклая улица, дом 40, подвал помещение </w:t>
      </w:r>
      <w:r>
        <w:rPr>
          <w:rStyle w:val="CharStyle13"/>
          <w:sz w:val="28"/>
          <w:szCs w:val="28"/>
          <w:lang w:val="en-US" w:eastAsia="en-US"/>
        </w:rPr>
        <w:t xml:space="preserve">I </w:t>
      </w:r>
      <w:r>
        <w:rPr>
          <w:rStyle w:val="CharStyle13"/>
          <w:sz w:val="28"/>
          <w:szCs w:val="28"/>
        </w:rPr>
        <w:t>ком 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627" w:bottom="1365" w:left="1135" w:header="0" w:footer="3" w:gutter="0"/>
          <w:cols w:num="2" w:space="720" w:equalWidth="0">
            <w:col w:w="4363" w:space="907"/>
            <w:col w:w="4867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info@etpgpb.ru</w:t>
      </w:r>
      <w:r>
        <w:fldChar w:fldCharType="end"/>
      </w:r>
      <w:r>
        <w:rPr>
          <w:rStyle w:val="CharStyle13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14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9" w:right="0" w:bottom="12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 №052/06/105-1212/2026</w:t>
        <w:br/>
        <w:t>по результатам рассмотрения жалобы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3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20 мая 2026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  <w:tab w:pos="2219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Канаевой И.С.</w:t>
        <w:tab/>
        <w:t>-председателя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  <w:tab w:pos="2219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Королевой И.А.</w:t>
        <w:tab/>
        <w:t>-члена комиссии, начальника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  <w:tab w:pos="2219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Железов Е.С.</w:t>
        <w:tab/>
        <w:t>-члена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Кондратьева О.А. - представителя ГП НО «НОФ» (доверенность № 31/12/2 от 31.12.2025),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  <w:tab w:pos="22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Сорокина И.А.</w:t>
        <w:tab/>
        <w:t>- представителя ООО «Медиана» (доверенность № 45 от 13.05.2026),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рассмотрев жалобу ООО «Медиана» (далее - Заявитель) на действия ГП НО «НОФ» (далее - Заказчик) при проведении закупки по объекту закупки: Ц-5563/2_Закупка медицинских изделий, номер извещения 0432200000826001884 (далее - Закупка),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в Управление Федеральной антимонопольной службы по Нижегородской области (далее также - Нижегородское УФАС России, Управление) поступила жалоба Заявителя на действия Заказчика при проведении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Согласно доводам жалобы </w:t>
      </w:r>
      <w:r>
        <w:rPr>
          <w:rStyle w:val="CharStyle13"/>
          <w:i/>
          <w:iCs/>
        </w:rPr>
        <w:t>«заявка ООО «Медиана» признана несоответствующей требованиям ,установленным в извещении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  <w:i/>
          <w:iCs/>
        </w:rPr>
        <w:t>...продукция, предложенная победителем, не соответствует требованиям конкурсной документации».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Полный текст жалобы Заявителя приобщен к материалам дела.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540"/>
        <w:jc w:val="both"/>
      </w:pPr>
      <w:r>
        <w:rPr>
          <w:rStyle w:val="CharStyle13"/>
        </w:rPr>
        <w:t>Нижегородское УФАС России приняло к рассмотрению жалобу Заявителя и назначило её рассмотрение на 19.05.2026 (уведомление о рассмотрении жалобы от 14.05.2026 №ИК/9721/26).</w:t>
      </w:r>
    </w:p>
    <w:p>
      <w:pPr>
        <w:widowControl w:val="0"/>
        <w:spacing w:line="1" w:lineRule="exact"/>
      </w:pPr>
      <w:r>
        <w:drawing>
          <wp:anchor distT="101600" distB="0" distL="0" distR="0" simplePos="0" relativeHeight="125829378" behindDoc="0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101600</wp:posOffset>
            </wp:positionV>
            <wp:extent cx="1334770" cy="4508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В целях полного, всестороннего, объективного рассмотрения Жалобы, а также ввиду необходимости предоставления дополнительных документов и сведений, в заседании Комиссии объявлен перерыв до </w:t>
      </w:r>
      <w:r>
        <w:rPr>
          <w:rStyle w:val="CharStyle13"/>
          <w:lang w:val="en-US" w:eastAsia="en-US"/>
        </w:rPr>
        <w:t>20.05.2026.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От Заявителя поступило ходатайство об ознакомлении с материалами настоящего дела. Ходатайство удовлетворено, Заявитель ознакомлен с материалами дела за исключением сведений, составляющих охраняемую законом тайну.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Заседание Комиссии Нижегородского УФАС России состоялось в указанные даты посредством видео-конференц-связи, при участии представителей Сторон.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Представитель Заказчика с доводами жалобы не согласился, представил возражения, согласно которым: </w:t>
      </w:r>
      <w:r>
        <w:rPr>
          <w:rStyle w:val="CharStyle13"/>
          <w:i/>
          <w:iCs/>
        </w:rPr>
        <w:t xml:space="preserve">«Все заявки (предлагаемый товар) были изначально проверены на соответствие требованиям описания объекта закупки (Приложение </w:t>
      </w:r>
      <w:r>
        <w:rPr>
          <w:rStyle w:val="CharStyle13"/>
          <w:i/>
          <w:iCs/>
          <w:lang w:val="en-US" w:eastAsia="en-US"/>
        </w:rPr>
        <w:t xml:space="preserve">1 </w:t>
      </w:r>
      <w:r>
        <w:rPr>
          <w:rStyle w:val="CharStyle13"/>
          <w:i/>
          <w:iCs/>
        </w:rPr>
        <w:t>к извещению).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 xml:space="preserve">В т.ч. оспариваемая заявка </w:t>
      </w:r>
      <w:r>
        <w:rPr>
          <w:rStyle w:val="CharStyle13"/>
          <w:i/>
          <w:iCs/>
          <w:lang w:val="en-US" w:eastAsia="en-US"/>
        </w:rPr>
        <w:t xml:space="preserve">20 </w:t>
      </w:r>
      <w:r>
        <w:rPr>
          <w:rStyle w:val="CharStyle13"/>
          <w:i/>
          <w:iCs/>
        </w:rPr>
        <w:t xml:space="preserve">(Победитель -ООО "ТОРГОВЫЙ ДОМ ЗАВОДА МЕДИЦИНСКИХ ИЗДЕЛИЙ" ИНН </w:t>
      </w:r>
      <w:r>
        <w:rPr>
          <w:rStyle w:val="CharStyle13"/>
          <w:i/>
          <w:iCs/>
          <w:lang w:val="en-US" w:eastAsia="en-US"/>
        </w:rPr>
        <w:t xml:space="preserve">7224084257). </w:t>
      </w:r>
      <w:r>
        <w:rPr>
          <w:rStyle w:val="CharStyle13"/>
          <w:i/>
          <w:iCs/>
        </w:rPr>
        <w:t>Соответствие товара требованиям извещения об осуществлении закупки в данной заявке было установлено исходя из рассмотрения следующих данных и документов: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 xml:space="preserve">В описании объекта закупки была установлена оспариваемая характеристика товара по п.1 и п.2 </w:t>
      </w:r>
      <w:r>
        <w:rPr>
          <w:rStyle w:val="CharStyle13"/>
          <w:i/>
          <w:iCs/>
          <w:lang w:val="en-US" w:eastAsia="en-US"/>
        </w:rPr>
        <w:t xml:space="preserve">- </w:t>
      </w:r>
      <w:r>
        <w:rPr>
          <w:rStyle w:val="CharStyle13"/>
          <w:i/>
          <w:iCs/>
        </w:rPr>
        <w:t>Совместимость со шприцевыми насосами Перфузор Компакт С и Перфузор Спейс.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 xml:space="preserve">Указанные выше требование о наличии совместимости были сформулированы в соответствии с п. </w:t>
      </w:r>
      <w:r>
        <w:rPr>
          <w:rStyle w:val="CharStyle13"/>
          <w:i/>
          <w:iCs/>
          <w:lang w:val="en-US" w:eastAsia="en-US"/>
        </w:rPr>
        <w:t xml:space="preserve">1 </w:t>
      </w:r>
      <w:r>
        <w:rPr>
          <w:rStyle w:val="CharStyle13"/>
          <w:i/>
          <w:iCs/>
        </w:rPr>
        <w:t xml:space="preserve">ч. </w:t>
      </w:r>
      <w:r>
        <w:rPr>
          <w:rStyle w:val="CharStyle13"/>
          <w:i/>
          <w:iCs/>
          <w:lang w:val="en-US" w:eastAsia="en-US"/>
        </w:rPr>
        <w:t xml:space="preserve">1 </w:t>
      </w:r>
      <w:r>
        <w:rPr>
          <w:rStyle w:val="CharStyle13"/>
          <w:i/>
          <w:iCs/>
        </w:rPr>
        <w:t xml:space="preserve">ст. </w:t>
      </w:r>
      <w:r>
        <w:rPr>
          <w:rStyle w:val="CharStyle13"/>
          <w:i/>
          <w:iCs/>
          <w:lang w:val="en-US" w:eastAsia="en-US"/>
        </w:rPr>
        <w:t xml:space="preserve">33 </w:t>
      </w:r>
      <w:r>
        <w:rPr>
          <w:rStyle w:val="CharStyle13"/>
          <w:i/>
          <w:iCs/>
        </w:rPr>
        <w:t>Закона о контрактной системе, с учетом наличия в инструкциях к насосам указания, что использование не рекомендуемых или не одобренных расходных материалов может влиять на технические характеристики приборов. Требования к совместимости были включены в документацию на основании потребностей заказчика и в соответствии с техническими регламентами и стандартами. Они направлены на обеспечение безопасности и эффективности медицинской помощи.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Заказчик не ограничивал конкуренцию по национальному признаку. В документации не было прямого указания на необходимость поставки продукции конкретного производителя или страны происхождения, кроме требования к совместимости с существующим оборудованием.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  <w:lang w:val="en-US" w:eastAsia="en-US"/>
        </w:rPr>
        <w:t>...</w:t>
      </w:r>
      <w:r>
        <w:rPr>
          <w:rStyle w:val="CharStyle13"/>
          <w:i/>
          <w:iCs/>
        </w:rPr>
        <w:t xml:space="preserve">Далее оценка заявок происходила с учетом требований нац.режима согласно правилам установленным ст.14 ФЗ-44 и ПП </w:t>
      </w:r>
      <w:r>
        <w:rPr>
          <w:rStyle w:val="CharStyle13"/>
          <w:i/>
          <w:iCs/>
          <w:lang w:val="en-US" w:eastAsia="en-US"/>
        </w:rPr>
        <w:t>№1875.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 xml:space="preserve">В закупке были установлены «защитные» меры в виде ограничения согласно ПП </w:t>
      </w:r>
      <w:r>
        <w:rPr>
          <w:rStyle w:val="CharStyle13"/>
          <w:i/>
          <w:iCs/>
          <w:lang w:val="en-US" w:eastAsia="en-US"/>
        </w:rPr>
        <w:t xml:space="preserve">№1875, </w:t>
      </w:r>
      <w:r>
        <w:rPr>
          <w:rStyle w:val="CharStyle13"/>
          <w:i/>
          <w:iCs/>
        </w:rPr>
        <w:t xml:space="preserve">т.к. товар находиться в Приложении </w:t>
      </w:r>
      <w:r>
        <w:rPr>
          <w:rStyle w:val="CharStyle13"/>
          <w:i/>
          <w:iCs/>
          <w:lang w:val="en-US" w:eastAsia="en-US"/>
        </w:rPr>
        <w:t xml:space="preserve">№2 </w:t>
      </w:r>
      <w:r>
        <w:rPr>
          <w:rStyle w:val="CharStyle13"/>
          <w:i/>
          <w:iCs/>
        </w:rPr>
        <w:t>(поз.385).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В качестве подтверждения российского происхождения товара в заявке с РФ товаром (заявка Победителя) были указаны номера реестра российской промышленной продукции (РРПП), которые были проверены в реестре. Т.о. было подтверждено российское происхождение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Согласно пп.а п.2 ч.4 ст.14 ФЗ-44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  <w:lang w:val="en-US" w:eastAsia="en-US"/>
        </w:rPr>
        <w:t xml:space="preserve">«2) </w:t>
      </w:r>
      <w:r>
        <w:rPr>
          <w:rStyle w:val="CharStyle13"/>
          <w:i/>
          <w:iCs/>
        </w:rPr>
        <w:t>если Правительством Российской Федерации установлено ограничение закупок товара: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i/>
          <w:iCs/>
        </w:rPr>
        <w:t>предусмотрена документация о закупке) заявка, содержащая предложение о поставке такого товара российского происхождения;»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Таким образом, при наличии заявки с товаром российского происхождения, все остальные заявки с импортным товаром были отклонены на основании п.4 ч.12 ст.48 ФЗ-44.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i/>
          <w:iCs/>
        </w:rPr>
        <w:t>Единственная заявка с товаром российского происхождения была признана Победителем».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Полный текст возражений Заказчика и приложения к ним имеется в материалах дела и изучен Комиссией антимонопольного органа.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  <w:lang w:val="en-US" w:eastAsia="en-US"/>
        </w:rPr>
        <w:t xml:space="preserve">1)27.04.2026 </w:t>
      </w:r>
      <w:r>
        <w:rPr>
          <w:rStyle w:val="CharStyle13"/>
        </w:rPr>
        <w:t>в единой информационной системе в сфере закупок (далее -ЕИС) и на сайте ЭТП Газпромбанк размещено извещение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способ определения поставщика (подрядчика, исполнителя): Запрос котировок в электронной форме;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начальная (максимальная) цена контракта: </w:t>
      </w:r>
      <w:r>
        <w:rPr>
          <w:rStyle w:val="CharStyle13"/>
          <w:lang w:val="en-US" w:eastAsia="en-US"/>
        </w:rPr>
        <w:t xml:space="preserve">5 875 000,00 </w:t>
      </w:r>
      <w:r>
        <w:rPr>
          <w:rStyle w:val="CharStyle13"/>
        </w:rPr>
        <w:t>руб.;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дата и время окончания срока подачи заявок: </w:t>
      </w:r>
      <w:r>
        <w:rPr>
          <w:rStyle w:val="CharStyle13"/>
          <w:lang w:val="en-US" w:eastAsia="en-US"/>
        </w:rPr>
        <w:t>06.05.2026 08:00;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дата подведения итогов определения поставщика (подрядчика, исполнителя): </w:t>
      </w:r>
      <w:r>
        <w:rPr>
          <w:rStyle w:val="CharStyle13"/>
          <w:lang w:val="en-US" w:eastAsia="en-US"/>
        </w:rPr>
        <w:t>08.05.2026;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" w:right="0" w:firstLine="0"/>
        <w:jc w:val="left"/>
      </w:pPr>
      <w:r>
        <w:rPr>
          <w:rStyle w:val="CharStyle18"/>
          <w:lang w:val="en-US" w:eastAsia="en-US"/>
        </w:rPr>
        <w:t xml:space="preserve">6) </w:t>
      </w:r>
      <w:r>
        <w:rPr>
          <w:rStyle w:val="CharStyle18"/>
        </w:rPr>
        <w:t>описание объекта Закупки</w:t>
      </w:r>
    </w:p>
    <w:tbl>
      <w:tblPr>
        <w:tblOverlap w:val="never"/>
        <w:jc w:val="center"/>
        <w:tblLayout w:type="fixed"/>
      </w:tblPr>
      <w:tblGrid>
        <w:gridCol w:w="2592"/>
        <w:gridCol w:w="4128"/>
        <w:gridCol w:w="3379"/>
      </w:tblGrid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КТРУ 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Значение характеристики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Характеристики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32.50.13.110-00004571 </w:t>
            </w:r>
            <w:r>
              <w:rPr>
                <w:rStyle w:val="CharStyle20"/>
                <w:sz w:val="22"/>
                <w:szCs w:val="22"/>
              </w:rPr>
              <w:t xml:space="preserve">(ОКПД2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32.50.13.110, </w:t>
            </w:r>
            <w:r>
              <w:rPr>
                <w:rStyle w:val="CharStyle20"/>
                <w:sz w:val="22"/>
                <w:szCs w:val="22"/>
              </w:rPr>
              <w:t xml:space="preserve">НКМИ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260600) </w:t>
            </w:r>
            <w:r>
              <w:rPr>
                <w:rStyle w:val="CharStyle20"/>
                <w:sz w:val="22"/>
                <w:szCs w:val="22"/>
              </w:rPr>
              <w:t>Шприц общего назначения*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Возможность использования с инфузионным шприцевым насосом (характеристика не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да</w:t>
            </w:r>
          </w:p>
        </w:tc>
      </w:tr>
      <w:tr>
        <w:trPr>
          <w:trHeight w:val="7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Градуированный объем шприца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50</w:t>
            </w:r>
          </w:p>
        </w:tc>
      </w:tr>
      <w:tr>
        <w:trPr>
          <w:trHeight w:val="7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Защитный стопор (характеристика не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да</w:t>
            </w:r>
          </w:p>
        </w:tc>
      </w:tr>
      <w:tr>
        <w:trPr>
          <w:trHeight w:val="76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Игла в комплекте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≥1</w:t>
            </w:r>
          </w:p>
        </w:tc>
      </w:tr>
      <w:tr>
        <w:trPr>
          <w:trHeight w:val="7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Коннектор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Луер Лок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Дополнительные характеристики:*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≤30</w:t>
            </w:r>
          </w:p>
        </w:tc>
      </w:tr>
      <w:tr>
        <w:trPr>
          <w:trHeight w:val="50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32.50.13.110-00004571 </w:t>
            </w:r>
            <w:r>
              <w:rPr>
                <w:rStyle w:val="CharStyle20"/>
                <w:sz w:val="22"/>
                <w:szCs w:val="22"/>
              </w:rPr>
              <w:t xml:space="preserve">(ОКПД2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32.50.13.110,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Характеристики КТРУ: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Возможность использования 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да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592"/>
        <w:gridCol w:w="4128"/>
        <w:gridCol w:w="3379"/>
      </w:tblGrid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КТРУ 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Значение характеристики</w:t>
            </w:r>
          </w:p>
        </w:tc>
      </w:tr>
      <w:tr>
        <w:trPr>
          <w:trHeight w:val="75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НКМИ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260600) </w:t>
            </w:r>
            <w:r>
              <w:rPr>
                <w:rStyle w:val="CharStyle20"/>
                <w:sz w:val="22"/>
                <w:szCs w:val="22"/>
              </w:rPr>
              <w:t>Шприц общего назначения*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инфузионным шприцевым насосом (характеристика не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6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Градуированный объем шприца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50</w:t>
            </w:r>
          </w:p>
        </w:tc>
      </w:tr>
      <w:tr>
        <w:trPr>
          <w:trHeight w:val="7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Защитный стопор (характеристика не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да</w:t>
            </w:r>
          </w:p>
        </w:tc>
      </w:tr>
      <w:tr>
        <w:trPr>
          <w:trHeight w:val="7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Игла в комплекте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≥1</w:t>
            </w:r>
          </w:p>
        </w:tc>
      </w:tr>
      <w:tr>
        <w:trPr>
          <w:trHeight w:val="76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Коннектор 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Луер Лок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Дополнительные характеристики:*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≤30</w:t>
            </w:r>
          </w:p>
        </w:tc>
      </w:tr>
      <w:tr>
        <w:trPr>
          <w:trHeight w:val="5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Цилиндр непрозрачный (светонепроницаемый)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  <w:tr>
        <w:trPr>
          <w:trHeight w:val="51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</w:tbl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применено ограничение закупок товаров, происходящих из иностранных государств, выполняемых работ, оказываемых услуг иностранными лицами (код </w:t>
      </w:r>
      <w:r>
        <w:rPr>
          <w:rStyle w:val="CharStyle13"/>
          <w:lang w:val="en-US" w:eastAsia="en-US"/>
        </w:rPr>
        <w:t xml:space="preserve">32.50.13.110, </w:t>
      </w:r>
      <w:r>
        <w:rPr>
          <w:rStyle w:val="CharStyle13"/>
        </w:rPr>
        <w:t xml:space="preserve">позиция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>23.12.2024 № 1875).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Согласно статье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извещение об осуществлении закупки, если иное не предусмотрено Законом о контрактной, должно содержать следующие электронные документы: описание объекта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98 </w:t>
      </w:r>
      <w:r>
        <w:rPr>
          <w:rStyle w:val="CharStyle13"/>
        </w:rPr>
        <w:t xml:space="preserve">Федерального закона Федерального закона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 xml:space="preserve">323-ФЗ «Об основах охраны здоровья граждан в Российской Федерации»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Федеральный закон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>323-ФЗ)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Поставка товара, не соответствующего требованиям заказчика, может отрицательно отобразиться на качестве оказания медицинской помощи, привести к нарушению Федерального закона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>323-ФЗ.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38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>323-ФЗ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Требования к содержанию технической и эксплуатационной документации производителя (изготовителя) медицинского изделия утверждены Приказом Минздрава России от </w:t>
      </w:r>
      <w:r>
        <w:rPr>
          <w:rStyle w:val="CharStyle13"/>
          <w:lang w:val="en-US" w:eastAsia="en-US"/>
        </w:rPr>
        <w:t xml:space="preserve">11.04.2025 № </w:t>
      </w:r>
      <w:r>
        <w:rPr>
          <w:rStyle w:val="CharStyle13"/>
        </w:rPr>
        <w:t xml:space="preserve">181н (начало действия документа </w:t>
      </w:r>
      <w:r>
        <w:rPr>
          <w:rStyle w:val="CharStyle13"/>
          <w:lang w:val="en-US" w:eastAsia="en-US"/>
        </w:rPr>
        <w:t xml:space="preserve">- 01.09.2025), </w:t>
      </w:r>
      <w:r>
        <w:rPr>
          <w:rStyle w:val="CharStyle13"/>
        </w:rPr>
        <w:t xml:space="preserve">по пункту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подпунктам </w:t>
      </w:r>
      <w:r>
        <w:rPr>
          <w:rStyle w:val="CharStyle13"/>
          <w:lang w:val="en-US" w:eastAsia="en-US"/>
        </w:rPr>
        <w:t xml:space="preserve">8, 10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которых производителем (изготовителем) медицинского изделия разрабатывается техническая и (или) эксплуатационная документация,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В технической документации производителя (изготовителя) на медицинское изделие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техническая документация), представляемой производителем (изготовителем) медицинского изделия или уполномоченным представителем производителя (изготовителя) медицинского изделия в составе регистрационного досье на медицинское изделие, за исключением программного обеспечения, являющегося медицинским изделием, или программного обеспечения с применением технологий искусственного интеллекта, являющегося медицинским изделием, должно содержаться: технические характеристики медицинского изделия; описание основных функциональных элементов медицинского изделия, которое сопровождается схемами, фотографическими изображениями, рисунками, диаграммами и иными пояснениями (при наличии); сведения об отсутствии ограничения взаимозаменяемости медицинских изделий посредством использования специальных технических или программных средств или другими способами, за исключением случая, если такое ограничение предназначено для обеспечения безопасности и эффективности медицинского изделия (при наличии); описание принадлежностей к медицинским изделиям, медицинских изделий или изделий, не являющихся медицинскими, предусмотренных для использования в комбинации с медицинским изделием (при наличии); сведения о возможности совместного применения медицинского изделия с другим медицинским изделием иного производителя (изготовителя), зарегистрированным в соответствии с требованиями законодательства Российской Федерации в сфере охраны здоровья и особенности совместного применения медицинского изделия с медицинским изделием иного производителя (изготовителя) (при наличии).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Согласно пунктам </w:t>
      </w:r>
      <w:r>
        <w:rPr>
          <w:rStyle w:val="CharStyle13"/>
          <w:lang w:val="en-US" w:eastAsia="en-US"/>
        </w:rPr>
        <w:t xml:space="preserve">4, 25 </w:t>
      </w:r>
      <w:r>
        <w:rPr>
          <w:rStyle w:val="CharStyle13"/>
        </w:rPr>
        <w:t xml:space="preserve">Правил государственной регистрации медицинских изделий, утвержденных Постановлением Правительства РФ от </w:t>
      </w:r>
      <w:r>
        <w:rPr>
          <w:rStyle w:val="CharStyle13"/>
          <w:lang w:val="en-US" w:eastAsia="en-US"/>
        </w:rPr>
        <w:t xml:space="preserve">30.11.2024 № 1684, </w:t>
      </w:r>
      <w:r>
        <w:rPr>
          <w:rStyle w:val="CharStyle13"/>
        </w:rPr>
        <w:t xml:space="preserve">факт государственной регистрации медицинского изделия в соответствии с настоящими Правилами подтверждается реестровой записью, вносимой регистрирующим органом в государственный реестр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реестровая запись).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Регистрационное досье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комплект документов, представляемый заявителем для государственной регистрации медицинского изделия, внесения изменений в такие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документы, отмены государственной регистрации медицинского изделия, а также копии решений, принятых регистрирующим органом и федеральным государственным бюджетным учреждением, находящимся в ведении регистрирующего органа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экспертное учреждение), в отношении конкретного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Техническая документация производителя (изготовителя) медицинского изделия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документ (документы), регламентирующий конструкцию медицинского изделия, устанавливающий технические требования и содержащий данные для его разработки, производства, применения, эксплуатации, технического обслуживания, ремонта, утилизации или уничтожения.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Эксплуатационная документация производителя (изготовителя) медицинского изделия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документ (документы), предназначенный для ознакомления потребителя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В этой связи включение в описание объекта закупки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а также, если такое имеет место быть в силу действующего законодательства, не может рассматриваться как ограничение круга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Невозможность отдельных участников закупок по каким-либо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Вместе с тем, необходимо отметить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соответствовало, как минимум, два производителя (Письмо от </w:t>
      </w:r>
      <w:r>
        <w:rPr>
          <w:rStyle w:val="CharStyle13"/>
          <w:lang w:val="en-US" w:eastAsia="en-US"/>
        </w:rPr>
        <w:t xml:space="preserve">21.03.2025 № 28/26176/25, </w:t>
      </w:r>
      <w:r>
        <w:rPr>
          <w:rStyle w:val="CharStyle13"/>
        </w:rPr>
        <w:t xml:space="preserve">Письмо от </w:t>
      </w:r>
      <w:r>
        <w:rPr>
          <w:rStyle w:val="CharStyle13"/>
          <w:lang w:val="en-US" w:eastAsia="en-US"/>
        </w:rPr>
        <w:t xml:space="preserve">20.03.2025 № 28/25602/25, </w:t>
      </w:r>
      <w:r>
        <w:rPr>
          <w:rStyle w:val="CharStyle13"/>
        </w:rPr>
        <w:t xml:space="preserve">Письмо от </w:t>
      </w:r>
      <w:r>
        <w:rPr>
          <w:rStyle w:val="CharStyle13"/>
          <w:lang w:val="en-US" w:eastAsia="en-US"/>
        </w:rPr>
        <w:t xml:space="preserve">19.04.2023 </w:t>
      </w:r>
      <w:r>
        <w:rPr>
          <w:rStyle w:val="CharStyle13"/>
        </w:rPr>
        <w:t xml:space="preserve">№ПИ/30510/23, Письмо от </w:t>
      </w:r>
      <w:r>
        <w:rPr>
          <w:rStyle w:val="CharStyle13"/>
          <w:lang w:val="en-US" w:eastAsia="en-US"/>
        </w:rPr>
        <w:t xml:space="preserve">27.04.2022 № </w:t>
      </w:r>
      <w:r>
        <w:rPr>
          <w:rStyle w:val="CharStyle13"/>
        </w:rPr>
        <w:t>ПИ/42497/22).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ФАС России в письме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ГР/48883/25 от </w:t>
      </w:r>
      <w:r>
        <w:rPr>
          <w:rStyle w:val="CharStyle13"/>
          <w:lang w:val="en-US" w:eastAsia="en-US"/>
        </w:rPr>
        <w:t xml:space="preserve">26.05.2025 </w:t>
      </w:r>
      <w:r>
        <w:rPr>
          <w:rStyle w:val="CharStyle13"/>
        </w:rPr>
        <w:t>отмечает, что 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реестр).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Однако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Между тем в ходе заседания Комиссии представитель Заказчика пояснил, что имеет потребность в получении конкретным потребителем товара с обозначенными характеристиками, что отражено в заявке конечного потребителя.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В ходе закупочной процедуры, на закупку Ц-5563/2 (НМЦК </w:t>
      </w:r>
      <w:r>
        <w:rPr>
          <w:rStyle w:val="CharStyle13"/>
          <w:lang w:val="en-US" w:eastAsia="en-US"/>
        </w:rPr>
        <w:t xml:space="preserve">- 5 875 </w:t>
      </w:r>
      <w:r>
        <w:rPr>
          <w:rStyle w:val="CharStyle13"/>
        </w:rPr>
        <w:t xml:space="preserve">000,00руб) поступило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заявки.</w:t>
      </w:r>
    </w:p>
    <w:tbl>
      <w:tblPr>
        <w:tblOverlap w:val="never"/>
        <w:jc w:val="center"/>
        <w:tblLayout w:type="fixed"/>
      </w:tblPr>
      <w:tblGrid>
        <w:gridCol w:w="1925"/>
        <w:gridCol w:w="1469"/>
        <w:gridCol w:w="6739"/>
      </w:tblGrid>
      <w:tr>
        <w:trPr>
          <w:trHeight w:val="12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 xml:space="preserve">Идентификацио нный номер и дата </w:t>
            </w:r>
            <w:r>
              <w:rPr>
                <w:rStyle w:val="CharStyle20"/>
                <w:b/>
                <w:bCs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20"/>
                <w:b/>
                <w:bCs/>
                <w:sz w:val="22"/>
                <w:szCs w:val="22"/>
              </w:rPr>
              <w:t>время подачи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>
        <w:trPr>
          <w:trHeight w:val="40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22 </w:t>
            </w:r>
            <w:r>
              <w:rPr>
                <w:rStyle w:val="CharStyle20"/>
                <w:sz w:val="22"/>
                <w:szCs w:val="22"/>
              </w:rPr>
              <w:t xml:space="preserve">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05.05.2026 17:34:42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Не соответствуе 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• </w:t>
            </w:r>
            <w:r>
              <w:rPr>
                <w:rStyle w:val="CharStyle20"/>
                <w:i/>
                <w:iCs/>
                <w:sz w:val="22"/>
                <w:szCs w:val="22"/>
              </w:rPr>
              <w:t xml:space="preserve">Пп.а п.1 ч.3 ст.50, п.4 ч.12 ст.48: основание предусмотрено пп."а" п.1 (за исключением случая, предусмотренного п.5 ч.12 ст.48), пп."а" п.2 ч.4, пп."а" п.1 (за исключением случая, предусмотренного п.5 ч.12 ст.48), п.2 ч. </w:t>
            </w: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0"/>
                <w:i/>
                <w:iCs/>
                <w:sz w:val="22"/>
                <w:szCs w:val="22"/>
              </w:rPr>
              <w:t>ст.14 44-ФЗ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Согласно установленным ограничениям допуска в извещении, в соответствии с Постановлением Правительства Российской Федерации 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23.12.2024 N 1875 </w:t>
            </w:r>
            <w:r>
              <w:rPr>
                <w:rStyle w:val="CharStyle20"/>
                <w:sz w:val="22"/>
                <w:szCs w:val="22"/>
              </w:rPr>
              <w:t>(Заявка участника закупки содержит предложение о поставке товара, происходящего из иностранного государства)</w:t>
            </w:r>
          </w:p>
        </w:tc>
      </w:tr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20 </w:t>
            </w:r>
            <w:r>
              <w:rPr>
                <w:rStyle w:val="CharStyle20"/>
                <w:sz w:val="22"/>
                <w:szCs w:val="22"/>
              </w:rPr>
              <w:t xml:space="preserve">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05.05.2026 13:11:43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Соответствуе 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21 </w:t>
            </w:r>
            <w:r>
              <w:rPr>
                <w:rStyle w:val="CharStyle20"/>
                <w:sz w:val="22"/>
                <w:szCs w:val="22"/>
              </w:rPr>
              <w:t xml:space="preserve">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05.05.2026 17:19:44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Не соответствуе 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• </w:t>
            </w:r>
            <w:r>
              <w:rPr>
                <w:rStyle w:val="CharStyle20"/>
                <w:i/>
                <w:iCs/>
                <w:sz w:val="22"/>
                <w:szCs w:val="22"/>
              </w:rPr>
              <w:t xml:space="preserve">Пп.а п.1 ч.3 ст.50, п.4 ч.12 ст.48: основание предусмотрено пп."а" п.1 (за исключением случая, предусмотренного п.5 ч.12 ст.48), пп."а" п.2 ч.4, пп."а" п.1 (за исключением случая, предусмотренного п.5 ч.12 ст.48), п.2 ч. </w:t>
            </w: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0"/>
                <w:i/>
                <w:iCs/>
                <w:sz w:val="22"/>
                <w:szCs w:val="22"/>
              </w:rPr>
              <w:t>ст.14 44-ФЗ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Согласно установленным ограничениям допуска в извещении, в соответствии с Постановлением Правительства Российской Федерации 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23.12.2024 N 1875 </w:t>
            </w:r>
            <w:r>
              <w:rPr>
                <w:rStyle w:val="CharStyle20"/>
                <w:sz w:val="22"/>
                <w:szCs w:val="22"/>
              </w:rPr>
              <w:t>(Заявка участника закупки содержит предложение о поставке товара, происходящего из иностранного государства)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925"/>
        <w:gridCol w:w="1469"/>
        <w:gridCol w:w="6739"/>
      </w:tblGrid>
      <w:tr>
        <w:trPr>
          <w:trHeight w:val="31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23 </w:t>
            </w:r>
            <w:r>
              <w:rPr>
                <w:rStyle w:val="CharStyle20"/>
                <w:sz w:val="22"/>
                <w:szCs w:val="22"/>
              </w:rPr>
              <w:t xml:space="preserve">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05.05.2026 18:57:16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Не соответствуе 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• </w:t>
            </w:r>
            <w:r>
              <w:rPr>
                <w:rStyle w:val="CharStyle20"/>
                <w:i/>
                <w:iCs/>
                <w:sz w:val="22"/>
                <w:szCs w:val="22"/>
              </w:rPr>
              <w:t xml:space="preserve">Пп.а п.1 ч.3 ст.50, п.4 ч.12 ст.48: основание предусмотрено пп."а" п.1 (за исключением случая, предусмотренного п.5 ч.12 ст.48), пп."а" п.2 ч.4, пп."а" п.1 (за исключением случая, предусмотренного п.5 ч.12 ст.48), п.2 ч. </w:t>
            </w:r>
            <w:r>
              <w:rPr>
                <w:rStyle w:val="CharStyle20"/>
                <w:i/>
                <w:iCs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0"/>
                <w:i/>
                <w:iCs/>
                <w:sz w:val="22"/>
                <w:szCs w:val="22"/>
              </w:rPr>
              <w:t>ст.14 44-ФЗ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Согласно установленным ограничениям допуска в извещении, в соответствии с Постановлением Правительства Российской Федерации от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 xml:space="preserve">23.12.2024 N 1875 </w:t>
            </w:r>
            <w:r>
              <w:rPr>
                <w:rStyle w:val="CharStyle20"/>
                <w:sz w:val="22"/>
                <w:szCs w:val="22"/>
              </w:rPr>
              <w:t>(Заявка участника закупки содержит предложение о поставке товара, происходящего из иностранного государства)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На основании протокола подведения итогов комиссия приняла решение признать победителем электронного запроса котировок участника закупки, подавшего заявку </w:t>
      </w:r>
      <w:r>
        <w:rPr>
          <w:rStyle w:val="CharStyle13"/>
          <w:lang w:val="en-US" w:eastAsia="en-US"/>
        </w:rPr>
        <w:t>№20.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Заключить контракт с участником, подавшим заявку </w:t>
      </w:r>
      <w:r>
        <w:rPr>
          <w:rStyle w:val="CharStyle13"/>
          <w:lang w:val="en-US" w:eastAsia="en-US"/>
        </w:rPr>
        <w:t xml:space="preserve">№20, </w:t>
      </w:r>
      <w:r>
        <w:rPr>
          <w:rStyle w:val="CharStyle13"/>
        </w:rPr>
        <w:t xml:space="preserve">по цене контракта </w:t>
      </w:r>
      <w:r>
        <w:rPr>
          <w:rStyle w:val="CharStyle13"/>
          <w:lang w:val="en-US" w:eastAsia="en-US"/>
        </w:rPr>
        <w:t xml:space="preserve">– 4 125 000.00,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Заказчиком на заседание комиссии представлен Акт оценки результатов технических испытаний медицинского изделия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ОБ-24-001 от </w:t>
      </w:r>
      <w:r>
        <w:rPr>
          <w:rStyle w:val="CharStyle13"/>
          <w:lang w:val="en-US" w:eastAsia="en-US"/>
        </w:rPr>
        <w:t xml:space="preserve">18.04.2024 </w:t>
      </w:r>
      <w:r>
        <w:rPr>
          <w:rStyle w:val="CharStyle13"/>
        </w:rPr>
        <w:t xml:space="preserve">«Шприц однократного применения, трехдетальный, стерильный, с номинальной вместимостью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мл, для шприцевых насосов по ТУ </w:t>
      </w:r>
      <w:r>
        <w:rPr>
          <w:rStyle w:val="CharStyle13"/>
          <w:lang w:val="en-US" w:eastAsia="en-US"/>
        </w:rPr>
        <w:t xml:space="preserve">9398-020-27380060-2015) </w:t>
      </w:r>
      <w:r>
        <w:rPr>
          <w:rStyle w:val="CharStyle13"/>
        </w:rPr>
        <w:t xml:space="preserve">ФГБУ «ВНИИИМТ» Росдравнадзора, согласно которому, «Шприц однократного применения, трехдетальный, стерильный, с номинальной вместимостью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мл, для шприцевых насосов по ТУ </w:t>
      </w:r>
      <w:r>
        <w:rPr>
          <w:rStyle w:val="CharStyle13"/>
          <w:lang w:val="en-US" w:eastAsia="en-US"/>
        </w:rPr>
        <w:t xml:space="preserve">9398-020-27380060- 2015» </w:t>
      </w:r>
      <w:r>
        <w:rPr>
          <w:rStyle w:val="CharStyle13"/>
        </w:rPr>
        <w:t>соответствует требованиям безопасности при применении испытываемых комплектующих или принадлежностей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Также Заказчик приложил к рассмотрению протокол технических испытаний на совместимость МИ «Шприц однократного применения, трехдетальный, стерильный, с номинальной вместимостью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мл, для шприцевых насосов, пр-ва ООО «МИМ» Россия со шприцевым насосом </w:t>
      </w:r>
      <w:r>
        <w:rPr>
          <w:rStyle w:val="CharStyle13"/>
          <w:lang w:val="en-US" w:eastAsia="en-US"/>
        </w:rPr>
        <w:t xml:space="preserve">Perfusor Space </w:t>
      </w:r>
      <w:r>
        <w:rPr>
          <w:rStyle w:val="CharStyle13"/>
        </w:rPr>
        <w:t xml:space="preserve">производства «Б. Браун Мельзунген АГ» Германия от производителя Тюмень ООО «МИМ». Согласно которому МИ «Шприц однократного применения, трехдетальный, стерильный, с номинальной вместимостью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мл, для шприцевых насосов, пр-ва ООО «МИМ» Россия (РУ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РЗН </w:t>
      </w:r>
      <w:r>
        <w:rPr>
          <w:rStyle w:val="CharStyle13"/>
          <w:lang w:val="en-US" w:eastAsia="en-US"/>
        </w:rPr>
        <w:t xml:space="preserve">2016/4326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30.09.2025 </w:t>
      </w:r>
      <w:r>
        <w:rPr>
          <w:rStyle w:val="CharStyle13"/>
        </w:rPr>
        <w:t xml:space="preserve">г.) совместимы со всеми шприцевыми насосами на которых, согласно инструкции по применению разрешено использование шприца Омнификс </w:t>
      </w:r>
      <w:r>
        <w:rPr>
          <w:rStyle w:val="CharStyle13"/>
          <w:lang w:val="en-US" w:eastAsia="en-US"/>
        </w:rPr>
        <w:t xml:space="preserve">(Omnifix), </w:t>
      </w:r>
      <w:r>
        <w:rPr>
          <w:rStyle w:val="CharStyle13"/>
        </w:rPr>
        <w:t xml:space="preserve">Луер Лок Соло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мл, производства Б. Браун Мельзунген АГ» Германия (РУ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ФСЗ </w:t>
      </w:r>
      <w:r>
        <w:rPr>
          <w:rStyle w:val="CharStyle13"/>
          <w:lang w:val="en-US" w:eastAsia="en-US"/>
        </w:rPr>
        <w:t xml:space="preserve">2009/05984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15.12.2021 </w:t>
      </w:r>
      <w:r>
        <w:rPr>
          <w:rStyle w:val="CharStyle13"/>
        </w:rPr>
        <w:t>г.).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Кроме того, Заказчиком на обозрение Комиссии представлена выписка из заключения о возможности (невозможности) внесения изменений в документы, содержащиеся в регистрационном досье на медицинское изделие №13/ЭБ-25-209-039 от </w:t>
      </w:r>
      <w:r>
        <w:rPr>
          <w:rStyle w:val="CharStyle13"/>
          <w:lang w:val="en-US" w:eastAsia="en-US"/>
        </w:rPr>
        <w:t xml:space="preserve">12.09.2025, </w:t>
      </w:r>
      <w:r>
        <w:rPr>
          <w:rStyle w:val="CharStyle13"/>
        </w:rPr>
        <w:t xml:space="preserve">согласно которому проведен анализ взаимозаменяемости шприцев однократного применения трехдетальных стерильных с номинальной вместимостью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мл для шприцевых насосов производства ООО «МИМ» и шприцев без игл или с приложенными иглами производства ООО «Б.Браун Медикал», РУ ФСЗ </w:t>
      </w:r>
      <w:r>
        <w:rPr>
          <w:rStyle w:val="CharStyle13"/>
          <w:lang w:val="en-US" w:eastAsia="en-US"/>
        </w:rPr>
        <w:t xml:space="preserve">2009/05984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>15.12.2021.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Установлено, что шприц для шприцевых насосов шприц однократного применения трехдетальный стерильный для шприцевых насосов производства ООО «МИМ»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обладает теми же функциональными и эксплуатационными характеристиками. Эффективное и безопасность клинического применения медицинского изделия,с учетом внесенных изменений в комплект регистрационных документов, подтверждены результатами проведенных клинических испытаний.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  <w:rPr>
          <w:sz w:val="22"/>
          <w:szCs w:val="22"/>
        </w:rPr>
      </w:pPr>
      <w:r>
        <w:rPr>
          <w:rStyle w:val="CharStyle13"/>
        </w:rPr>
        <w:t xml:space="preserve">Таким образом, в указанной части Заказчиком представлены документы и сведения, подтверждающие изучение сведений о совместимости предлагаемого к поставке победителем закупки медицинского изделия с имеющимся у Заказчика шприцевыми насосами </w:t>
      </w:r>
      <w:r>
        <w:rPr>
          <w:rStyle w:val="CharStyle13"/>
          <w:smallCaps/>
          <w:sz w:val="22"/>
          <w:szCs w:val="22"/>
        </w:rPr>
        <w:t>п</w:t>
      </w:r>
      <w:r>
        <w:rPr>
          <w:rStyle w:val="CharStyle13"/>
          <w:sz w:val="22"/>
          <w:szCs w:val="22"/>
        </w:rPr>
        <w:t xml:space="preserve">ерфузор </w:t>
      </w:r>
      <w:r>
        <w:rPr>
          <w:rStyle w:val="CharStyle13"/>
          <w:smallCaps/>
          <w:sz w:val="22"/>
          <w:szCs w:val="22"/>
        </w:rPr>
        <w:t>к</w:t>
      </w:r>
      <w:r>
        <w:rPr>
          <w:rStyle w:val="CharStyle13"/>
          <w:sz w:val="22"/>
          <w:szCs w:val="22"/>
        </w:rPr>
        <w:t xml:space="preserve">омпакт </w:t>
      </w:r>
      <w:r>
        <w:rPr>
          <w:rStyle w:val="CharStyle13"/>
          <w:smallCaps/>
          <w:sz w:val="22"/>
          <w:szCs w:val="22"/>
        </w:rPr>
        <w:t>с</w:t>
      </w:r>
      <w:r>
        <w:rPr>
          <w:rStyle w:val="CharStyle13"/>
          <w:sz w:val="22"/>
          <w:szCs w:val="22"/>
        </w:rPr>
        <w:t xml:space="preserve"> и </w:t>
      </w:r>
      <w:r>
        <w:rPr>
          <w:rStyle w:val="CharStyle13"/>
          <w:smallCaps/>
          <w:sz w:val="22"/>
          <w:szCs w:val="22"/>
        </w:rPr>
        <w:t>п</w:t>
      </w:r>
      <w:r>
        <w:rPr>
          <w:rStyle w:val="CharStyle13"/>
          <w:sz w:val="22"/>
          <w:szCs w:val="22"/>
        </w:rPr>
        <w:t xml:space="preserve">ерфузор </w:t>
      </w:r>
      <w:r>
        <w:rPr>
          <w:rStyle w:val="CharStyle13"/>
          <w:smallCaps/>
          <w:sz w:val="22"/>
          <w:szCs w:val="22"/>
        </w:rPr>
        <w:t>с</w:t>
      </w:r>
      <w:r>
        <w:rPr>
          <w:rStyle w:val="CharStyle13"/>
          <w:sz w:val="22"/>
          <w:szCs w:val="22"/>
        </w:rPr>
        <w:t>пейс</w:t>
      </w:r>
      <w:r>
        <w:rPr>
          <w:rStyle w:val="CharStyle13"/>
          <w:smallCaps/>
          <w:sz w:val="22"/>
          <w:szCs w:val="22"/>
        </w:rPr>
        <w:t>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27"/>
        </w:rPr>
        <w:t>Таким образом довод жалобы признается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3"/>
          <w:lang w:val="en-US" w:eastAsia="en-US"/>
        </w:rPr>
        <w:t xml:space="preserve">2) </w:t>
      </w:r>
      <w:r>
        <w:rPr>
          <w:rStyle w:val="CharStyle13"/>
        </w:rPr>
        <w:t>В ходе внеплановой проверки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3"/>
        </w:rPr>
        <w:t xml:space="preserve">В соответствии с положениями пункта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Правил использования КТРУ, утвержденных Постановлением Правительства РФ от </w:t>
      </w:r>
      <w:r>
        <w:rPr>
          <w:rStyle w:val="CharStyle13"/>
          <w:lang w:val="en-US" w:eastAsia="en-US"/>
        </w:rPr>
        <w:t xml:space="preserve">08.02.2017 № 145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Правила), в случае осуществления закупки товара, в отношении которого в КТРУ отсутствуют соответствующие позиции, заказчик осуществляет описание такого товара в соответствии с требованиями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3"/>
        </w:rPr>
        <w:t xml:space="preserve">Заказчиком применен КТРУ </w:t>
      </w:r>
      <w:r>
        <w:rPr>
          <w:rStyle w:val="CharStyle13"/>
          <w:lang w:val="en-US" w:eastAsia="en-US"/>
        </w:rPr>
        <w:t>32.50.13.110-00004571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3"/>
        </w:rPr>
        <w:t>Указанные позиции согласно Каталогу товаров, работ, услуг для обеспечения государственных и муниципальных нужд позиция содержат характеристики.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3"/>
        </w:rPr>
        <w:t>Заказчиком применены дополнительные характеристики (по каждой позиции):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22"/>
          <w:szCs w:val="22"/>
        </w:rPr>
      </w:pPr>
      <w:r>
        <w:rPr>
          <w:rStyle w:val="CharStyle18"/>
          <w:b/>
          <w:bCs/>
          <w:sz w:val="22"/>
          <w:szCs w:val="22"/>
        </w:rPr>
        <w:t>Дополнительные характеристики:*</w:t>
      </w:r>
    </w:p>
    <w:tbl>
      <w:tblPr>
        <w:tblOverlap w:val="never"/>
        <w:jc w:val="center"/>
        <w:tblLayout w:type="fixed"/>
      </w:tblPr>
      <w:tblGrid>
        <w:gridCol w:w="6499"/>
        <w:gridCol w:w="3398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rFonts w:ascii="Calibri" w:eastAsia="Calibri" w:hAnsi="Calibri" w:cs="Calibri"/>
                <w:sz w:val="22"/>
                <w:szCs w:val="22"/>
                <w:lang w:val="en-US" w:eastAsia="en-US"/>
              </w:rPr>
              <w:t>≤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30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</w:tbl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22"/>
          <w:szCs w:val="22"/>
        </w:rPr>
      </w:pPr>
      <w:r>
        <w:rPr>
          <w:rStyle w:val="CharStyle18"/>
          <w:b/>
          <w:bCs/>
          <w:sz w:val="22"/>
          <w:szCs w:val="22"/>
        </w:rPr>
        <w:t>Дополнительные характеристики:*</w:t>
      </w:r>
    </w:p>
    <w:tbl>
      <w:tblPr>
        <w:tblOverlap w:val="never"/>
        <w:jc w:val="center"/>
        <w:tblLayout w:type="fixed"/>
      </w:tblPr>
      <w:tblGrid>
        <w:gridCol w:w="6485"/>
        <w:gridCol w:w="3394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≤30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Цилиндр непрозрачный (светонепроницаемый)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 этом в обоснование включения дополнительной информации в сведения о товаре, работе, услуге Заказчик указал: «Характеристики, указанные в КТРУ, не являются исчерпывающими и не в полной мере удовлетворяют потребности Заказчика. Показатели применяются для более точного описания необходимых потребительских свойств товара».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3"/>
        </w:rPr>
        <w:t xml:space="preserve">Правила использования каталога не устанавливают требований к форме и содержанию указанного обоснования, в связи с чем оно составляется заказчиком самостоятельно. При этом такое обоснование должно позволять определить необходимость использования вышеуказанных дополнительных информации и свойств, поскольку подлежит составлению именно для этого. (Письмо Минфина России от </w:t>
      </w:r>
      <w:r>
        <w:rPr>
          <w:rStyle w:val="CharStyle13"/>
          <w:lang w:val="en-US" w:eastAsia="en-US"/>
        </w:rPr>
        <w:t>23.11.2023 №24-03-09/112443).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Приведенное обоснование скорее носит формальный характер и не содержит объективной аргументации, доказывающей факт того, что установленные в извещении дополнительные потребительские свойства закупаемого товара действительно необходимы Заказчику для удовлетворения его нужд, а поставка товара с иными характеристиками и свойствами не удовлетворит потребность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При установленных обстоятельствах, заказчик, указав в качестве обоснования исключительно свою потребность, но не раскрыв в чем именно выразилось потребность необходимости использования дополнительных характеристик, допустил нарушение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Между тем в ходе заседания Комиссии Заказчик представил обоснование включения указанных дополнительных характеристик в состав описания объекта закупки: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22"/>
          <w:szCs w:val="22"/>
        </w:rPr>
      </w:pPr>
      <w:r>
        <w:rPr>
          <w:rStyle w:val="CharStyle18"/>
          <w:b/>
          <w:bCs/>
          <w:sz w:val="22"/>
          <w:szCs w:val="22"/>
        </w:rPr>
        <w:t>Дополнительные характеристики:*</w:t>
      </w:r>
    </w:p>
    <w:tbl>
      <w:tblPr>
        <w:tblOverlap w:val="never"/>
        <w:jc w:val="center"/>
        <w:tblLayout w:type="fixed"/>
      </w:tblPr>
      <w:tblGrid>
        <w:gridCol w:w="3216"/>
        <w:gridCol w:w="2179"/>
        <w:gridCol w:w="4848"/>
      </w:tblGrid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более высокую точность дозирования, плавность хода поршня и герметичность по сравнению с двухкомпонентными шприцами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быстрый поток жидкости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rFonts w:ascii="Calibri" w:eastAsia="Calibri" w:hAnsi="Calibri" w:cs="Calibri"/>
                <w:sz w:val="22"/>
                <w:szCs w:val="22"/>
                <w:lang w:val="en-US" w:eastAsia="en-US"/>
              </w:rPr>
              <w:t>≤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безопасность и комфорт при процедурах, минимизируя риск повреждения глубоких тканей, сосудов или нервов</w:t>
            </w:r>
          </w:p>
        </w:tc>
      </w:tr>
      <w:tr>
        <w:trPr>
          <w:trHeight w:val="78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FE7F5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CFE7F5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совместимость с оборудованием имеющимся у заказчика</w:t>
            </w:r>
          </w:p>
        </w:tc>
      </w:tr>
    </w:tbl>
    <w:p>
      <w:pPr>
        <w:widowControl w:val="0"/>
        <w:spacing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22"/>
          <w:szCs w:val="22"/>
        </w:rPr>
      </w:pPr>
      <w:r>
        <w:rPr>
          <w:rStyle w:val="CharStyle18"/>
          <w:b/>
          <w:bCs/>
          <w:sz w:val="22"/>
          <w:szCs w:val="22"/>
        </w:rPr>
        <w:t>Дополнительные характеристики:*</w:t>
      </w:r>
    </w:p>
    <w:tbl>
      <w:tblPr>
        <w:tblOverlap w:val="never"/>
        <w:jc w:val="center"/>
        <w:tblLayout w:type="fixed"/>
      </w:tblPr>
      <w:tblGrid>
        <w:gridCol w:w="2405"/>
        <w:gridCol w:w="2990"/>
        <w:gridCol w:w="4848"/>
      </w:tblGrid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3-х компонентные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более высокую точность дозирования, плавность хода поршня и герметичность по сравнению с двухкомпонентными шприцами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 xml:space="preserve">Размер 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иглы,G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быстрый поток жидкости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Длина трубки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rFonts w:ascii="Calibri" w:eastAsia="Calibri" w:hAnsi="Calibri" w:cs="Calibri"/>
                <w:sz w:val="22"/>
                <w:szCs w:val="22"/>
                <w:lang w:val="en-US" w:eastAsia="en-US"/>
              </w:rPr>
              <w:t>≤</w:t>
            </w:r>
            <w:r>
              <w:rPr>
                <w:rStyle w:val="CharStyle20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обеспечивает безопасность и комфорт при процедурах, минимизируя риск повреждения глубоких тканей, сосудов или нервов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Цилиндр непрозрачный (светонепроницаемый)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необходимо, чтобы предотвратить распад или изменение свойств активного вещества</w:t>
            </w:r>
          </w:p>
        </w:tc>
      </w:tr>
      <w:tr>
        <w:trPr>
          <w:trHeight w:val="10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Совместимость со шприцевыми насосами Перфузор Компакт С и Перфузор Спейс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sz w:val="22"/>
                <w:szCs w:val="22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0"/>
                <w:i/>
                <w:iCs/>
                <w:sz w:val="22"/>
                <w:szCs w:val="22"/>
              </w:rPr>
              <w:t>совместимость с оборудованием имеющимся у заказчика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rStyle w:val="CharStyle18"/>
        </w:rPr>
        <w:t>Комиссия принимает данное обоснование.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rStyle w:val="CharStyle18"/>
        </w:rPr>
        <w:t xml:space="preserve">На основании изложенного, Комиссия приходит к выводу, что действия Заказчика нарушают пункт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33,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Из совокупности рассмотренных пояснений, сведений и документов, Комиссия Нижегородского УФАС России приходит к выводу о нарушении Заказчиком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поскольку сформированное Заказчиком описание объекта закупки является ограничивающим конкуренцию при отсутствии представления Заказчиком необходимой информации и документов в ходе рассмотрения жалобы и проведения внеплановой проверки.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Таким образом, Заказчиком нарушены требования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33,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42,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В связи с наличием заключенного на момент рассмотрении жалобы государственного контракта, Комиссия считает нецелесообразным выдавать обязательное для исполнения предписание.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На основании изложенного и руководствуясь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Комиссия Нижегородского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признать жалобу ООО "Медиана" на действия ГП НО «НОФ» при проведении закупки по объекту закупки: «Ц_5774_Закупка медицинских изделий», номер извещения </w:t>
      </w:r>
      <w:r>
        <w:rPr>
          <w:rStyle w:val="CharStyle13"/>
          <w:lang w:val="en-US" w:eastAsia="en-US"/>
        </w:rPr>
        <w:t xml:space="preserve">0432200000826001823, </w:t>
      </w:r>
      <w:r>
        <w:rPr>
          <w:rStyle w:val="CharStyle13"/>
        </w:rPr>
        <w:t>необоснованной;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признать в действиях Заказчика нарушение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33,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обязательное для исполнения 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передать материалы дела уполномоченному должностному лицу Нижегородского УФАС России для рассмотрения вопроса о возможности возбуждения административного производства в отношении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9" w:right="523" w:bottom="1278" w:left="1082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0" w:bottom="8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2717" w:h="408" w:wrap="none" w:vAnchor="text" w:hAnchor="page" w:x="5069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after="541" w:line="1" w:lineRule="exact"/>
      </w:pPr>
      <w:r>
        <w:drawing>
          <wp:anchor distT="0" distB="0" distL="0" distR="1816735" simplePos="0" relativeHeight="62914697" behindDoc="1" locked="0" layoutInCell="1" allowOverlap="1">
            <wp:simplePos x="0" y="0"/>
            <wp:positionH relativeFrom="page">
              <wp:posOffset>2830830</wp:posOffset>
            </wp:positionH>
            <wp:positionV relativeFrom="paragraph">
              <wp:posOffset>12700</wp:posOffset>
            </wp:positionV>
            <wp:extent cx="298450" cy="34734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541" w:bottom="87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874395</wp:posOffset>
                </wp:positionH>
                <wp:positionV relativeFrom="paragraph">
                  <wp:posOffset>12700</wp:posOffset>
                </wp:positionV>
                <wp:extent cx="1731010" cy="23495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8.850000000000009pt;margin-top:1.pt;width:136.30000000000001pt;height:18.5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5662930</wp:posOffset>
                </wp:positionH>
                <wp:positionV relativeFrom="paragraph">
                  <wp:posOffset>12700</wp:posOffset>
                </wp:positionV>
                <wp:extent cx="951230" cy="18288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45.90000000000003pt;margin-top:1.pt;width:74.900000000000006pt;height:14.4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И.С. Канаева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1040" w:right="0" w:firstLine="0"/>
        <w:jc w:val="left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Канаева Ирина Сергеевна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00C0B702B4B52D40D7A483D5EEEFDC0E3</w:t>
      </w:r>
      <w:r>
        <w:rPr>
          <w:rStyle w:val="CharStyle35"/>
          <w:lang w:val="en-US" w:eastAsia="en-US"/>
        </w:rPr>
        <w:t>’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340"/>
        <w:jc w:val="left"/>
      </w:pPr>
      <w:r>
        <w:rPr>
          <w:rStyle w:val="CharStyle35"/>
        </w:rPr>
        <w:t xml:space="preserve">Действителен с 18.09.2025 </w:t>
      </w:r>
      <w:r>
        <w:rPr>
          <w:rStyle w:val="CharStyle35"/>
          <w:color w:val="5E5E5E"/>
        </w:rPr>
        <w:t xml:space="preserve">по </w:t>
      </w:r>
      <w:r>
        <w:rPr>
          <w:rStyle w:val="CharStyle35"/>
        </w:rPr>
        <w:t>12.12.2026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3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2979" w:bottom="1676" w:left="4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Члены комиссии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0" w:bottom="8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2712" w:h="408" w:wrap="none" w:vAnchor="text" w:hAnchor="page" w:x="50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after="541" w:line="1" w:lineRule="exact"/>
      </w:pPr>
      <w:r>
        <w:drawing>
          <wp:anchor distT="0" distB="0" distL="0" distR="1816735" simplePos="0" relativeHeight="62914698" behindDoc="1" locked="0" layoutInCell="1" allowOverlap="1">
            <wp:simplePos x="0" y="0"/>
            <wp:positionH relativeFrom="page">
              <wp:posOffset>2830830</wp:posOffset>
            </wp:positionH>
            <wp:positionV relativeFrom="paragraph">
              <wp:posOffset>12700</wp:posOffset>
            </wp:positionV>
            <wp:extent cx="298450" cy="34734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541" w:bottom="87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5634990</wp:posOffset>
                </wp:positionH>
                <wp:positionV relativeFrom="paragraph">
                  <wp:posOffset>12700</wp:posOffset>
                </wp:positionV>
                <wp:extent cx="1005840" cy="23177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И.А.Королева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43.69999999999999pt;margin-top:1.pt;width:79.200000000000003pt;height:18.25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И.А.Королева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2852420</wp:posOffset>
            </wp:positionH>
            <wp:positionV relativeFrom="paragraph">
              <wp:posOffset>892810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3242310</wp:posOffset>
                </wp:positionH>
                <wp:positionV relativeFrom="paragraph">
                  <wp:posOffset>953770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5.30000000000001pt;margin-top:75.10000000000000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Королёва Ирина Андреевна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00C37A327BDE0B3DCB5E7D45FE744668C</w:t>
      </w:r>
      <w:r>
        <w:rPr>
          <w:rStyle w:val="CharStyle35"/>
          <w:lang w:val="en-US" w:eastAsia="en-US"/>
        </w:rPr>
        <w:t>(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35"/>
        </w:rPr>
        <w:t xml:space="preserve">Действителен с </w:t>
      </w:r>
      <w:r>
        <w:rPr>
          <w:rStyle w:val="CharStyle35"/>
          <w:color w:val="5E5E5E"/>
        </w:rPr>
        <w:t xml:space="preserve">30.12.2025 по </w:t>
      </w:r>
      <w:r>
        <w:rPr>
          <w:rStyle w:val="CharStyle35"/>
        </w:rPr>
        <w:t>25.03.2027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Е.С. Железов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Железов Евгений Сергеевич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00F3D8B84BF14FAF6C17D2409D2067ABC</w:t>
      </w:r>
      <w:r>
        <w:rPr>
          <w:rStyle w:val="CharStyle35"/>
          <w:lang w:val="en-US" w:eastAsia="en-US"/>
        </w:rPr>
        <w:t>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35"/>
        </w:rPr>
        <w:t xml:space="preserve">Действителен с 02.04.2026 </w:t>
      </w:r>
      <w:r>
        <w:rPr>
          <w:rStyle w:val="CharStyle35"/>
          <w:color w:val="5E5E5E"/>
        </w:rPr>
        <w:t xml:space="preserve">по </w:t>
      </w:r>
      <w:r>
        <w:rPr>
          <w:rStyle w:val="CharStyle35"/>
        </w:rPr>
        <w:t>26.06.2027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Исп.Железов Е.С.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7"/>
        </w:rPr>
        <w:t>тел.052-803 431-73-88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302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10193020</wp:posOffset>
              </wp:positionV>
              <wp:extent cx="71628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2026-12328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300000000000004pt;margin-top:802.60000000000002pt;width:56.399999999999999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2026-12328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885190</wp:posOffset>
              </wp:positionH>
              <wp:positionV relativeFrom="page">
                <wp:posOffset>10031730</wp:posOffset>
              </wp:positionV>
              <wp:extent cx="71628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2026-12328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700000000000003pt;margin-top:789.89999999999998pt;width:56.399999999999999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2026-12328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728980</wp:posOffset>
              </wp:positionV>
              <wp:extent cx="14033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5.85000000000002pt;margin-top:57.399999999999999pt;width:11.0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7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Tabl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Picture caption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3">
    <w:name w:val="Body text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Tabl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30"/>
      <w:ind w:firstLine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Picture caption"/>
    <w:basedOn w:val="Normal"/>
    <w:link w:val="CharStyle3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2">
    <w:name w:val="Body text (5)"/>
    <w:basedOn w:val="Normal"/>
    <w:link w:val="CharStyle33"/>
    <w:pPr>
      <w:widowControl w:val="0"/>
      <w:shd w:val="clear" w:color="auto" w:fill="auto"/>
      <w:spacing w:after="100"/>
      <w:ind w:left="5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