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Магаданской области</w:t>
        <w:br/>
        <w:t>(Магаданское УФАС России)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</w:rPr>
        <w:t>пр-кт Ленина, 28 Б, г. Магадан, 685000</w:t>
        <w:br/>
        <w:t>тел. (4132) 60-71-88, факс (4132) 62-77-74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"mailto:to49@fas.gov.ru" </w:instrText>
      </w:r>
      <w:r>
        <w:fldChar w:fldCharType="separate"/>
      </w:r>
      <w:r>
        <w:rPr>
          <w:rStyle w:val="CharStyle8"/>
          <w:lang w:val="en-US" w:eastAsia="en-US"/>
        </w:rPr>
        <w:t>to49@fas.gov.ru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0.05.2026</w:t>
        <w:tab/>
      </w:r>
      <w:r>
        <w:fldChar w:fldCharType="end"/>
      </w:r>
      <w:r>
        <w:rPr>
          <w:rStyle w:val="CharStyle13"/>
        </w:rPr>
        <w:t xml:space="preserve">№ </w:t>
      </w:r>
      <w:r>
        <w:rPr>
          <w:rStyle w:val="CharStyle13"/>
          <w:u w:val="single"/>
        </w:rPr>
        <w:t>ВС/1477/2</w:t>
      </w:r>
      <w:r>
        <w:rPr>
          <w:rStyle w:val="CharStyle13"/>
        </w:rPr>
        <w:t>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Федеральное бюджетное учреждение здравоохранения «Центр гигиены и эпидемиологии в Магаданской области» ул. Якутская, д. 53, г. Магадан, 685000 </w:t>
      </w:r>
      <w:r>
        <w:fldChar w:fldCharType="begin"/>
      </w:r>
      <w:r>
        <w:rPr/>
        <w:instrText> HYPERLINK "mailto:info@cge49.ru" </w:instrText>
      </w:r>
      <w:r>
        <w:fldChar w:fldCharType="separate"/>
      </w:r>
      <w:r>
        <w:rPr>
          <w:rStyle w:val="CharStyle17"/>
          <w:lang w:val="en-US" w:eastAsia="en-US"/>
        </w:rPr>
        <w:t>info@cge49.ru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fldChar w:fldCharType="begin"/>
      </w:r>
      <w:r>
        <w:rPr/>
        <w:instrText> HYPERLINK "mailto:zakupki@cge49.ru" </w:instrText>
      </w:r>
      <w:r>
        <w:fldChar w:fldCharType="separate"/>
      </w:r>
      <w:r>
        <w:rPr>
          <w:rStyle w:val="CharStyle17"/>
          <w:lang w:val="en-US" w:eastAsia="en-US"/>
        </w:rPr>
        <w:t>zakupki@cge49.ru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fldChar w:fldCharType="begin"/>
      </w:r>
      <w:r>
        <w:rPr/>
        <w:instrText> HYPERLINK "mailto:zakupki2@cge49.ru" </w:instrText>
      </w:r>
      <w:r>
        <w:fldChar w:fldCharType="separate"/>
      </w:r>
      <w:r>
        <w:rPr>
          <w:rStyle w:val="CharStyle17"/>
          <w:lang w:val="en-US" w:eastAsia="en-US"/>
        </w:rPr>
        <w:t>zakupki2@cge49.ru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Общество с ограниченной ответственностью «Оптик Мастер» ул. Шостаковича, д. 5, корп. 1, литера А, г. Санкт-Петербург, 194358 </w:t>
      </w:r>
      <w:r>
        <w:fldChar w:fldCharType="begin"/>
      </w:r>
      <w:r>
        <w:rPr/>
        <w:instrText> HYPERLINK "mailto:optic-master-spb@mail.ru" </w:instrText>
      </w:r>
      <w:r>
        <w:fldChar w:fldCharType="separate"/>
      </w:r>
      <w:r>
        <w:rPr>
          <w:rStyle w:val="CharStyle17"/>
          <w:lang w:val="en-US" w:eastAsia="en-US"/>
        </w:rPr>
        <w:t>optic-master-spb@mail.ru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3" w:right="608" w:bottom="1154" w:left="1135" w:header="0" w:footer="3" w:gutter="0"/>
          <w:pgNumType w:start="1"/>
          <w:cols w:num="2" w:space="720" w:equalWidth="0">
            <w:col w:w="4200" w:space="1070"/>
            <w:col w:w="4886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 xml:space="preserve">АО «Единая электронная торговая площадка»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7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0" w:bottom="9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РЕШЕНИЕ</w:t>
        <w:br/>
        <w:t>по делу № 049/06/105-231/2026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6390005</wp:posOffset>
                </wp:positionH>
                <wp:positionV relativeFrom="paragraph">
                  <wp:posOffset>12700</wp:posOffset>
                </wp:positionV>
                <wp:extent cx="822960" cy="25019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</w:rPr>
                              <w:t>г. Магадан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3.15000000000003pt;margin-top:1.pt;width:64.7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</w:rPr>
                        <w:t>г. Магадан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7"/>
        </w:rPr>
        <w:t>20.05.2026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Комиссия Управления Федеральной антимонопольной службы по Магаданской области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00"/>
        <w:jc w:val="both"/>
      </w:pPr>
      <w:r>
        <mc:AlternateContent>
          <mc:Choice Requires="wps">
            <w:drawing>
              <wp:anchor distT="0" distB="362585" distL="114300" distR="394335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25400</wp:posOffset>
                </wp:positionV>
                <wp:extent cx="1313815" cy="94170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941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Солопан В.В. члены комиссии: Жмур М.К.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Ващенко Е.С.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300000000000004pt;margin-top:2.pt;width:103.45pt;height:74.150000000000006pt;z-index:-125829373;mso-wrap-distance-left:9.pt;mso-wrap-distance-right:31.05000000000000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Солопан В.В. члены комиссии: Жмур М.К.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Ващенко Е.С.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060450" distB="0" distL="568325" distR="114300" simplePos="0" relativeHeight="125829382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1085850</wp:posOffset>
                </wp:positionV>
                <wp:extent cx="1139825" cy="24384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при участии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1.049999999999997pt;margin-top:85.5pt;width:89.75pt;height:19.199999999999999pt;z-index:-125829371;mso-wrap-distance-left:44.75pt;mso-wrap-distance-top:83.5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при участии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7"/>
        </w:rPr>
        <w:t>- врио руководителя управления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6" w:val="left"/>
        </w:tabs>
        <w:bidi w:val="0"/>
        <w:spacing w:before="0" w:after="140" w:line="240" w:lineRule="auto"/>
        <w:ind w:left="0" w:right="0" w:firstLine="300"/>
        <w:jc w:val="both"/>
      </w:pPr>
      <w:r>
        <w:rPr>
          <w:rStyle w:val="CharStyle17"/>
        </w:rPr>
        <w:t>начальник отдела контроля закупок и торгов;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6" w:val="left"/>
        </w:tabs>
        <w:bidi w:val="0"/>
        <w:spacing w:before="0" w:after="0" w:line="240" w:lineRule="auto"/>
        <w:ind w:left="300" w:right="0" w:firstLine="0"/>
        <w:jc w:val="both"/>
      </w:pPr>
      <w:r>
        <w:rPr>
          <w:rStyle w:val="CharStyle17"/>
        </w:rPr>
        <w:t>главный специалист-эксперт отдела контроля закупок и торгов;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7"/>
        </w:rPr>
        <w:t>представителя Федерального бюджетного учреждения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17"/>
        </w:rPr>
        <w:t>здравоохранения «Центр гигиены и эпидемиологии в Магаданской области» (далее – Заказчик) Гагина А.В. (дов. № 49-20-14/71-2026 от 18.05.2026), без участия представителей общества с ограниченной ответственностью «Оптик Мастер» (далее – Заявитель), извещенных надлежащим образом о времени и месте заседания Комиссии, рассмотрела жалобу Заявителя на положения извещения о закупке Заказчика - Федерального бюджетного учреждения здравоохранения «Центр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0"/>
        </w:rPr>
        <w:t>IIIIIIIIIIIIIIIIIIIIIIII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гигиены и эпидемиологии в Магаданской области» при проведении запроса котировок в электронной форме «Поставка микроскопа светового» (реестровый номер извещения </w:t>
      </w:r>
      <w:r>
        <w:rPr>
          <w:rStyle w:val="CharStyle17"/>
          <w:lang w:val="en-US" w:eastAsia="en-US"/>
        </w:rPr>
        <w:t>0347100003126000042).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Жалоба подана в установленный 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105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Закон о контрактной системе) срок.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жалобе Заявитель указывает, что извещение о закупке (техническое задание) сформировано с нарушением требований законодательства о контрактной системе, влекущим ограничение конкуренции.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Изучив представленные документы и материалы, осуществив внеплановую проверку, руководствуясь частью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о контрактной системе, Комиссия Магаданского УФАС 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</w:rPr>
        <w:t>УСТАНОВИЛА: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06.05.2026 </w:t>
      </w:r>
      <w:r>
        <w:rPr>
          <w:rStyle w:val="CharStyle17"/>
        </w:rPr>
        <w:t xml:space="preserve">Заказчиком на официальном сайте Единой информационной системы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ЕИС) </w:t>
      </w:r>
      <w:r>
        <w:rPr>
          <w:rStyle w:val="CharStyle17"/>
          <w:lang w:val="en-US" w:eastAsia="en-US"/>
        </w:rPr>
        <w:t>zakupki.gov.ru</w:t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размещено извещение о проведении запроса котировок в электронной форме «Поставка микроскопа светового» (реестровый номер извещения </w:t>
      </w:r>
      <w:r>
        <w:rPr>
          <w:rStyle w:val="CharStyle17"/>
          <w:lang w:val="en-US" w:eastAsia="en-US"/>
        </w:rPr>
        <w:t>0347100003126000042).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- 554 175,50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Дата и время окончания подачи заявок </w:t>
      </w:r>
      <w:r>
        <w:rPr>
          <w:rStyle w:val="CharStyle17"/>
          <w:lang w:val="en-US" w:eastAsia="en-US"/>
        </w:rPr>
        <w:t xml:space="preserve">– 18.05.2026 09:00, </w:t>
      </w:r>
      <w:r>
        <w:rPr>
          <w:rStyle w:val="CharStyle17"/>
        </w:rPr>
        <w:t xml:space="preserve">дата подведения итогов определения поставщика (подрядчика, исполнителя) </w:t>
      </w:r>
      <w:r>
        <w:rPr>
          <w:rStyle w:val="CharStyle17"/>
          <w:lang w:val="en-US" w:eastAsia="en-US"/>
        </w:rPr>
        <w:t>- 19.05.2026.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05.2026 </w:t>
      </w:r>
      <w:r>
        <w:rPr>
          <w:rStyle w:val="CharStyle17"/>
        </w:rPr>
        <w:t xml:space="preserve">закупка отменена Заказчиком, с учетом положений частей </w:t>
      </w:r>
      <w:r>
        <w:rPr>
          <w:rStyle w:val="CharStyle17"/>
          <w:lang w:val="en-US" w:eastAsia="en-US"/>
        </w:rPr>
        <w:t xml:space="preserve">1, 2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36 </w:t>
      </w:r>
      <w:r>
        <w:rPr>
          <w:rStyle w:val="CharStyle17"/>
        </w:rPr>
        <w:t xml:space="preserve">Закона о контрактной системе, на основании приказа ФБУЗ «Центр гигиены и эпидемиологии в Магаданской области» от </w:t>
      </w:r>
      <w:r>
        <w:rPr>
          <w:rStyle w:val="CharStyle17"/>
          <w:lang w:val="en-US" w:eastAsia="en-US"/>
        </w:rPr>
        <w:t>14.05.2026 № 35.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доводам жалобы Заявителя, в техническом задании Заказчиком ряд пунктов сформулированы таким образом, что исключают возможность поставки аналогичного оборудования, в частности пунктом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технического задания установлено требование о наличии встроенной пятиуровневой системы световой светодиодной индикации по обеим сторонам микроскопа, для оперативного контроля уровня освещенности в плоскости объекта. Вместе с тем, данная система имеется у двух производителей: </w:t>
      </w:r>
      <w:r>
        <w:rPr>
          <w:rStyle w:val="CharStyle17"/>
          <w:lang w:val="en-US" w:eastAsia="en-US"/>
        </w:rPr>
        <w:t xml:space="preserve">Carl Zeiss Suzhou Co, </w:t>
      </w:r>
      <w:r>
        <w:rPr>
          <w:rStyle w:val="CharStyle17"/>
        </w:rPr>
        <w:t xml:space="preserve">Китай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микроскоп </w:t>
      </w:r>
      <w:r>
        <w:rPr>
          <w:rStyle w:val="CharStyle17"/>
          <w:lang w:val="en-US" w:eastAsia="en-US"/>
        </w:rPr>
        <w:t xml:space="preserve">«Primo Star»; </w:t>
      </w:r>
      <w:r>
        <w:rPr>
          <w:rStyle w:val="CharStyle17"/>
        </w:rPr>
        <w:t xml:space="preserve">Акционерное общество «ЛОМО», Россия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микроскоп «Микмед-5». Световые микроскопы производителя </w:t>
      </w:r>
      <w:r>
        <w:rPr>
          <w:rStyle w:val="CharStyle17"/>
          <w:lang w:val="en-US" w:eastAsia="en-US"/>
        </w:rPr>
        <w:t xml:space="preserve">Carl Zeiss </w:t>
      </w:r>
      <w:r>
        <w:rPr>
          <w:rStyle w:val="CharStyle17"/>
        </w:rPr>
        <w:t xml:space="preserve">официально не поставляются с Россию, таким образом, единственный производитель, продукция которого удовлетворяет данному требованию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АО «ЛОМО». Данное требование, по мнению Заявителя, ограничивает конкуренцию, не имея при этом функционального значения.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820" w:bottom="961" w:left="818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Также, в пунктах </w:t>
      </w:r>
      <w:r>
        <w:rPr>
          <w:rStyle w:val="CharStyle17"/>
          <w:lang w:val="en-US" w:eastAsia="en-US"/>
        </w:rPr>
        <w:t xml:space="preserve">9.1, 10.1, 11.1 </w:t>
      </w:r>
      <w:r>
        <w:rPr>
          <w:rStyle w:val="CharStyle17"/>
        </w:rPr>
        <w:t xml:space="preserve">технического задания установлены следующие требования к значению числовой апертуры: </w:t>
      </w:r>
      <w:r>
        <w:rPr>
          <w:rStyle w:val="CharStyle17"/>
          <w:i/>
          <w:iCs/>
        </w:rPr>
        <w:t xml:space="preserve">4х объектива (масляная иммерсия </w:t>
      </w:r>
      <w:r>
        <w:rPr>
          <w:rStyle w:val="CharStyle17"/>
          <w:i/>
          <w:iCs/>
          <w:lang w:val="en-US" w:eastAsia="en-US"/>
        </w:rPr>
        <w:t xml:space="preserve">≥0,10; </w:t>
      </w:r>
      <w:r>
        <w:rPr>
          <w:rStyle w:val="CharStyle17"/>
          <w:i/>
          <w:iCs/>
        </w:rPr>
        <w:t xml:space="preserve">10х объектива (масляная иммерсия) </w:t>
      </w:r>
      <w:r>
        <w:rPr>
          <w:rStyle w:val="CharStyle17"/>
          <w:i/>
          <w:iCs/>
          <w:lang w:val="en-US" w:eastAsia="en-US"/>
        </w:rPr>
        <w:t xml:space="preserve">≥0,25; </w:t>
      </w:r>
      <w:r>
        <w:rPr>
          <w:rStyle w:val="CharStyle17"/>
          <w:i/>
          <w:iCs/>
        </w:rPr>
        <w:t xml:space="preserve">50х объектива (масляная иммерсия) </w:t>
      </w:r>
      <w:r>
        <w:rPr>
          <w:rStyle w:val="CharStyle17"/>
          <w:i/>
          <w:iCs/>
          <w:lang w:val="en-US" w:eastAsia="en-US"/>
        </w:rPr>
        <w:t>≥0,95</w:t>
      </w:r>
      <w:r>
        <w:rPr>
          <w:rStyle w:val="CharStyle17"/>
          <w:lang w:val="en-US" w:eastAsia="en-US"/>
        </w:rPr>
        <w:t xml:space="preserve">. </w:t>
      </w:r>
      <w:r>
        <w:rPr>
          <w:rStyle w:val="CharStyle17"/>
        </w:rPr>
        <w:t>Объективы с увеличением 4х, 10х и 50х с масляной иммерсией не производятся ни одним из представленных на рынке производителей закупаемого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товара. Данное требование делает невозможной поставку ни одного микроскопа.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Рассмотрев доводы жалобы, извещение о закупке (с приложениями), представленные в материалы дела документы и пояснения, Комиссия приходит к следующему.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 содержащее информацию о наименовании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>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а также Правила использования каталога товаров, работ, услуг для обеспечения государственных и муниципальных нужд утверждены постановлением Правительства РФ от </w:t>
      </w:r>
      <w:r>
        <w:rPr>
          <w:rStyle w:val="CharStyle17"/>
          <w:lang w:val="en-US" w:eastAsia="en-US"/>
        </w:rPr>
        <w:t xml:space="preserve">08.02.2017 № 145 </w:t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Правила использования КТРУ).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пунктов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Правил использования КТРУ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Федерального закона, которые не предусмотрены в позиции каталога.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извещением о закупке, Заказчиком определен код закупаемого товара согласно позиции по КТРУ </w:t>
      </w:r>
      <w:r>
        <w:rPr>
          <w:rStyle w:val="CharStyle17"/>
          <w:lang w:val="en-US" w:eastAsia="en-US"/>
        </w:rPr>
        <w:t xml:space="preserve">– 26.70.22.150-00000001 </w:t>
      </w:r>
      <w:r>
        <w:rPr>
          <w:rStyle w:val="CharStyle17"/>
        </w:rPr>
        <w:t>«Микроскоп световой стандартный». Данная позиция не содержит установленных обязательных для применения характеристик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заказчик в случаях, предусмотренных настоящим Федеральным законом, при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764" w:left="1106" w:header="0" w:footer="336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38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21.11.2011 № </w:t>
      </w:r>
      <w:r>
        <w:rPr>
          <w:rStyle w:val="CharStyle17"/>
        </w:rPr>
        <w:t xml:space="preserve">323-ФЗ «Об основах охраны здоровья граждан в Российской Федерации»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Закон об </w:t>
      </w:r>
      <w:r>
        <w:rPr>
          <w:rStyle w:val="CharStyle17"/>
          <w:sz w:val="24"/>
          <w:szCs w:val="24"/>
          <w:lang w:val="en-US" w:eastAsia="en-US"/>
        </w:rPr>
        <w:t>2026-1583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основах охраны здоровья граждан) медицинскими изделиями являются любые инструменты, аппараты, приборы, оборудование, материалы и прочие изделия, применяемые в медицинских целях отдельно или в сочетании между собой, а также вместе с другими принадлежностями, необходимыми для применения указанных изделий по назначению, включая специальное программное обеспечение, и предназначенные производителем для профилактики, диагностики, лечения и медицинской реабилитации заболеваний, мониторинга состояния организма человека, проведения медицинских исследований, восстановления, замещения, изменения анатомической структуры или физиологических функций организма.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 (часть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38 </w:t>
      </w:r>
      <w:r>
        <w:rPr>
          <w:rStyle w:val="CharStyle17"/>
        </w:rPr>
        <w:t>Закона об основах охраны здоровья граждан).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25 </w:t>
      </w:r>
      <w:r>
        <w:rPr>
          <w:rStyle w:val="CharStyle17"/>
        </w:rPr>
        <w:t xml:space="preserve">Правил государственной регистрации медицинских изделий, утвержденных постановлением Правительства РФ от </w:t>
      </w:r>
      <w:r>
        <w:rPr>
          <w:rStyle w:val="CharStyle17"/>
          <w:lang w:val="en-US" w:eastAsia="en-US"/>
        </w:rPr>
        <w:t xml:space="preserve">30.11.2024 № 1684, </w:t>
      </w:r>
      <w:r>
        <w:rPr>
          <w:rStyle w:val="CharStyle17"/>
        </w:rPr>
        <w:t>установлено, что факт государственной регистрации медицинского изделия в соответствии с настоящими Правилами подтверждается реестровой записью, вносимой регистрирующим органом в государственный реестр.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статьи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>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соблюдаться наряду с принципом обеспечения конкуренции.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>Закона о контрактной системе).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Указание Заказчиком в извещении о закупке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(пункт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</w:t>
      </w:r>
      <w:r>
        <w:rPr>
          <w:rStyle w:val="CharStyle17"/>
          <w:lang w:val="en-US" w:eastAsia="en-US"/>
        </w:rPr>
        <w:t>28.06.2017)).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Из приведенных норм следует, что действующее законодательство о контрактной системе допускает самостоятельное формирование Заказчиком объекта закупки исходя из целей осуществления закупки и потребностей последнего. При этом, потребность Заказчика является определяющим фактором при формировании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объекта закупки и не может рассматриваться как вторичная по отношению к интересам и возможностям участников.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тоже время, согласно правовой позиции ФАС России, выраженной в письме от </w:t>
      </w:r>
      <w:r>
        <w:rPr>
          <w:rStyle w:val="CharStyle17"/>
          <w:lang w:val="en-US" w:eastAsia="en-US"/>
        </w:rPr>
        <w:t xml:space="preserve">19.04.2023 № </w:t>
      </w:r>
      <w:r>
        <w:rPr>
          <w:rStyle w:val="CharStyle17"/>
        </w:rPr>
        <w:t>ПИ/30510/23, объект закупки должен быть сформирован таким образом, чтобы совокупности характеристик товара соответствовало как минимум два производителя.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письменных пояснениях (вх.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2201-ЭП/26 от </w:t>
      </w:r>
      <w:r>
        <w:rPr>
          <w:rStyle w:val="CharStyle17"/>
          <w:lang w:val="en-US" w:eastAsia="en-US"/>
        </w:rPr>
        <w:t xml:space="preserve">19.05.2026) </w:t>
      </w:r>
      <w:r>
        <w:rPr>
          <w:rStyle w:val="CharStyle17"/>
        </w:rPr>
        <w:t xml:space="preserve">Заказчик указал, что установленные в техническом задании характеристики закупаемого медицинского изделия соответствуют специфике использования такого товара (рабочей необходимости), для проведения лабораторией учреждения исследований особо опасных инфекций. В рамках подготовки к осуществлению закупки, учреждением проводились мероприятия по оценке соответствия характеристик различных световых микроскопов, имеющихся на рынке, проводимым учреждением исследованиям. Так, в лаборатории ФБУЗ «Центр гигиены и эпидемиологии в Магаданской области» проводятся исследования проб клинического материала на возбудителей особо опасных и природно-очаговых инфекций, в соответствии со следующими методиками: МУК </w:t>
      </w:r>
      <w:r>
        <w:rPr>
          <w:rStyle w:val="CharStyle17"/>
          <w:lang w:val="en-US" w:eastAsia="en-US"/>
        </w:rPr>
        <w:t xml:space="preserve">4.2.4150-25 </w:t>
      </w:r>
      <w:r>
        <w:rPr>
          <w:rStyle w:val="CharStyle17"/>
        </w:rPr>
        <w:t xml:space="preserve">«Эпидемиологический надзор, лабораторная диагностика и профилактика холеры»; «Методические рекомендации по лабораторной диагностике листериоза животных и людей», утвержденные Госагропромом СССР </w:t>
      </w:r>
      <w:r>
        <w:rPr>
          <w:rStyle w:val="CharStyle17"/>
          <w:lang w:val="en-US" w:eastAsia="en-US"/>
        </w:rPr>
        <w:t xml:space="preserve">13.02.1987, </w:t>
      </w:r>
      <w:r>
        <w:rPr>
          <w:rStyle w:val="CharStyle17"/>
        </w:rPr>
        <w:t xml:space="preserve">Минздравом СССР </w:t>
      </w:r>
      <w:r>
        <w:rPr>
          <w:rStyle w:val="CharStyle17"/>
          <w:lang w:val="en-US" w:eastAsia="en-US"/>
        </w:rPr>
        <w:t xml:space="preserve">04.09.1986 </w:t>
      </w:r>
      <w:r>
        <w:rPr>
          <w:rStyle w:val="CharStyle17"/>
        </w:rPr>
        <w:t xml:space="preserve">(в редакции от </w:t>
      </w:r>
      <w:r>
        <w:rPr>
          <w:rStyle w:val="CharStyle17"/>
          <w:lang w:val="en-US" w:eastAsia="en-US"/>
        </w:rPr>
        <w:t xml:space="preserve">10.04.1996); </w:t>
      </w:r>
      <w:r>
        <w:rPr>
          <w:rStyle w:val="CharStyle17"/>
        </w:rPr>
        <w:t xml:space="preserve">МУ </w:t>
      </w:r>
      <w:r>
        <w:rPr>
          <w:rStyle w:val="CharStyle17"/>
          <w:lang w:val="en-US" w:eastAsia="en-US"/>
        </w:rPr>
        <w:t xml:space="preserve">3.1/4.2.4135-25 </w:t>
      </w:r>
      <w:r>
        <w:rPr>
          <w:rStyle w:val="CharStyle17"/>
        </w:rPr>
        <w:t xml:space="preserve">«Эпидемиологический надзор, лабораторная диагностика и профилактика сибирской язвы». Одним из методов, необходимых для проведения исследования, является люминесцентная микроскопия с применением люминесцентного микроскопа. Данной потребности, а также совокупности характеристик, важнейших для Заказчика, удовлетворяют два изделия: микроскоп медицинский «Микмед-6», производитель Акционерное общество «ЛОМО», Россия, РУ от </w:t>
      </w:r>
      <w:r>
        <w:rPr>
          <w:rStyle w:val="CharStyle17"/>
          <w:lang w:val="en-US" w:eastAsia="en-US"/>
        </w:rPr>
        <w:t xml:space="preserve">25.09.2015 № </w:t>
      </w:r>
      <w:r>
        <w:rPr>
          <w:rStyle w:val="CharStyle17"/>
        </w:rPr>
        <w:t xml:space="preserve">ФСР </w:t>
      </w:r>
      <w:r>
        <w:rPr>
          <w:rStyle w:val="CharStyle17"/>
          <w:lang w:val="en-US" w:eastAsia="en-US"/>
        </w:rPr>
        <w:t xml:space="preserve">2010/08205; </w:t>
      </w:r>
      <w:r>
        <w:rPr>
          <w:rStyle w:val="CharStyle17"/>
        </w:rPr>
        <w:t xml:space="preserve">микроскоп </w:t>
      </w:r>
      <w:r>
        <w:rPr>
          <w:rStyle w:val="CharStyle17"/>
          <w:lang w:val="en-US" w:eastAsia="en-US"/>
        </w:rPr>
        <w:t xml:space="preserve">«Primo Star», </w:t>
      </w:r>
      <w:r>
        <w:rPr>
          <w:rStyle w:val="CharStyle17"/>
        </w:rPr>
        <w:t xml:space="preserve">производитель </w:t>
      </w:r>
      <w:r>
        <w:rPr>
          <w:rStyle w:val="CharStyle17"/>
          <w:lang w:val="en-US" w:eastAsia="en-US"/>
        </w:rPr>
        <w:t xml:space="preserve">Carl Zeiss Suzhou Co, </w:t>
      </w:r>
      <w:r>
        <w:rPr>
          <w:rStyle w:val="CharStyle17"/>
        </w:rPr>
        <w:t xml:space="preserve">Китай, РУ от </w:t>
      </w:r>
      <w:r>
        <w:rPr>
          <w:rStyle w:val="CharStyle17"/>
          <w:lang w:val="en-US" w:eastAsia="en-US"/>
        </w:rPr>
        <w:t xml:space="preserve">15.12.2021 № </w:t>
      </w:r>
      <w:r>
        <w:rPr>
          <w:rStyle w:val="CharStyle17"/>
        </w:rPr>
        <w:t xml:space="preserve">ФСЗ </w:t>
      </w:r>
      <w:r>
        <w:rPr>
          <w:rStyle w:val="CharStyle17"/>
          <w:lang w:val="en-US" w:eastAsia="en-US"/>
        </w:rPr>
        <w:t>2012/13086.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Комиссией проверена информация о регистрационных удостоверениях данных микроскопов, в том числе указанная в руководствах по эксплуатации медицинских изделий, размещенная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На основании установленного, Комиссия делает вывод о том, что на соответствующем рынке имеется товар как минимум двух различных производителей, соответствующий положениям извещения о закупке в части требования о наличии системы световой светодиодной индикации у такого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 (часть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>Закона о контрактной системе).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В силу вышеуказанной нормы, обязанность доказывания нарушения своих прав и законных интересов лежит на подателе жалобы, однако, в заседании Комиссии Заявитель участия не принял, также в составе жалобы не представлено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документов и сведений, подтверждающих довод о невозможности приобретения, непоставку световых микроскопов </w:t>
      </w:r>
      <w:r>
        <w:rPr>
          <w:rStyle w:val="CharStyle17"/>
          <w:lang w:val="en-US" w:eastAsia="en-US"/>
        </w:rPr>
        <w:t xml:space="preserve">«Primo Star» </w:t>
      </w:r>
      <w:r>
        <w:rPr>
          <w:rStyle w:val="CharStyle17"/>
        </w:rPr>
        <w:t xml:space="preserve">производства </w:t>
      </w:r>
      <w:r>
        <w:rPr>
          <w:rStyle w:val="CharStyle17"/>
          <w:lang w:val="en-US" w:eastAsia="en-US"/>
        </w:rPr>
        <w:t xml:space="preserve">Carl Zeiss Suzhou Co </w:t>
      </w:r>
      <w:r>
        <w:rPr>
          <w:rStyle w:val="CharStyle17"/>
        </w:rPr>
        <w:t>(Китай) в Россию.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Также Комиссия отмечает, что объектом закупки является поставка товара, а не его изготовление, следовательно, принять участие в данной закупке может любое юридическое, физическое лицо, индивидуальный предприниматель, дилеры, дистрибьюторы, поставщики, производители, готовые поставить товар, отвечающий требованиям описания объекта закупки и удовлетворяющий потребности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По смыслу статьи </w:t>
      </w:r>
      <w:r>
        <w:rPr>
          <w:rStyle w:val="CharStyle17"/>
          <w:lang w:val="en-US" w:eastAsia="en-US"/>
        </w:rPr>
        <w:t xml:space="preserve">506 </w:t>
      </w:r>
      <w:r>
        <w:rPr>
          <w:rStyle w:val="CharStyle17"/>
        </w:rPr>
        <w:t>Гражданского кодекса Российской Федерации в качестве поставщика по договору поставки может выступать как непосредственно сам производитель, так и иное лицо, закупающее товары для дальнейшей передачи покупателю.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Заявитель, являясь субъектом предпринимательской деятельности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поставщиком, не ограничен в выборе контрагентов. Отсутствие у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 основании изложенного, Комиссия приходит к выводу, что довод жалобы в указанной части не нашел своего подтверждения и является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b/>
          <w:bCs/>
          <w:lang w:val="en-US" w:eastAsia="en-US"/>
        </w:rPr>
        <w:t xml:space="preserve">2.1) </w:t>
      </w:r>
      <w:r>
        <w:rPr>
          <w:rStyle w:val="CharStyle17"/>
        </w:rPr>
        <w:t xml:space="preserve">В части довода о неправомерном установлении в пунктах </w:t>
      </w:r>
      <w:r>
        <w:rPr>
          <w:rStyle w:val="CharStyle17"/>
          <w:lang w:val="en-US" w:eastAsia="en-US"/>
        </w:rPr>
        <w:t xml:space="preserve">9.1, 10.1, 11.1 </w:t>
      </w:r>
      <w:r>
        <w:rPr>
          <w:rStyle w:val="CharStyle17"/>
        </w:rPr>
        <w:t xml:space="preserve">технического задания требований к значению числовой апертуры: </w:t>
      </w:r>
      <w:r>
        <w:rPr>
          <w:rStyle w:val="CharStyle17"/>
          <w:i/>
          <w:iCs/>
        </w:rPr>
        <w:t xml:space="preserve">4х объектива (масляная иммерсия) </w:t>
      </w:r>
      <w:r>
        <w:rPr>
          <w:rStyle w:val="CharStyle17"/>
          <w:i/>
          <w:iCs/>
          <w:lang w:val="en-US" w:eastAsia="en-US"/>
        </w:rPr>
        <w:t xml:space="preserve">≥0,10; </w:t>
      </w:r>
      <w:r>
        <w:rPr>
          <w:rStyle w:val="CharStyle17"/>
          <w:i/>
          <w:iCs/>
        </w:rPr>
        <w:t xml:space="preserve">10х объектива (масляная иммерсия) </w:t>
      </w:r>
      <w:r>
        <w:rPr>
          <w:rStyle w:val="CharStyle17"/>
          <w:i/>
          <w:iCs/>
          <w:lang w:val="en-US" w:eastAsia="en-US"/>
        </w:rPr>
        <w:t xml:space="preserve">≥0,25; </w:t>
      </w:r>
      <w:r>
        <w:rPr>
          <w:rStyle w:val="CharStyle17"/>
          <w:i/>
          <w:iCs/>
        </w:rPr>
        <w:t xml:space="preserve">50х объектива (масляная иммерсия) </w:t>
      </w:r>
      <w:r>
        <w:rPr>
          <w:rStyle w:val="CharStyle17"/>
          <w:i/>
          <w:iCs/>
          <w:lang w:val="en-US" w:eastAsia="en-US"/>
        </w:rPr>
        <w:t>≥0,95</w:t>
      </w:r>
      <w:r>
        <w:rPr>
          <w:rStyle w:val="CharStyle17"/>
          <w:lang w:val="en-US" w:eastAsia="en-US"/>
        </w:rPr>
        <w:t xml:space="preserve">, </w:t>
      </w:r>
      <w:r>
        <w:rPr>
          <w:rStyle w:val="CharStyle17"/>
        </w:rPr>
        <w:t>которым не соответствует ни один из представленных на рынке микроскопов, что делает невозможной поставку такого товара, Заказчик пояснил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Требование к объективам 4х, 10х, 50х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«масляная иммерсия» установлено Заказчиком ошибочно, вместо характеристики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«сухая система», соответствующей реальной потребности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основании изложенного, Комиссия приходит к выводу о нарушении Заказчиком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7,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Установленное нарушение содержит признаки административного правонарушения, ответственность за которое предусмотрена частью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7.30.1 </w:t>
      </w:r>
      <w:r>
        <w:rPr>
          <w:rStyle w:val="CharStyle17"/>
        </w:rPr>
        <w:t xml:space="preserve">Кодекса Российской Федерации об административных правонарушениях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КоАП РФ).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>В ходе проведения внеплановой проверки закупки Комиссией также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извещении (требованиях к участникам) Заказчиком установлено требование о соответствии участников закупки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системе. Также файл «Требования к содержанию, составу заявки и инструкция по ее заполнению» (приложение к извещению) содержит следующие положения: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00"/>
        <w:jc w:val="both"/>
      </w:pPr>
      <w:r>
        <w:rPr>
          <w:rStyle w:val="CharStyle17"/>
          <w:i/>
          <w:iCs/>
        </w:rPr>
        <w:t xml:space="preserve">«Информация и документы об участнике закупки, которые включаются участником закупки в заявку на участие в закупке: информация и документы, которые подтверждают соответствие участника закупки требованиям, установленным пунктом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части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статьи </w:t>
      </w:r>
      <w:r>
        <w:rPr>
          <w:rStyle w:val="CharStyle17"/>
          <w:i/>
          <w:iCs/>
          <w:lang w:val="en-US" w:eastAsia="en-US"/>
        </w:rPr>
        <w:t xml:space="preserve">31 </w:t>
      </w:r>
      <w:r>
        <w:rPr>
          <w:rStyle w:val="CharStyle17"/>
          <w:i/>
          <w:iCs/>
        </w:rPr>
        <w:t xml:space="preserve">Закона о контрактной системе: </w:t>
      </w:r>
      <w:r>
        <w:rPr>
          <w:rStyle w:val="CharStyle17"/>
          <w:b/>
          <w:bCs/>
          <w:i/>
          <w:iCs/>
        </w:rPr>
        <w:t xml:space="preserve">выписка из реестра лицензий, либо копия акта лицензирующего органа о принятом решении, либо сведения о записи в реестре лицензий (регистрационном номере лицензии и дате ее предоставления) на осуществление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</w:t>
      </w:r>
      <w:r>
        <w:rPr>
          <w:rStyle w:val="CharStyle17"/>
          <w:i/>
          <w:iCs/>
        </w:rPr>
        <w:t xml:space="preserve">в соответствии с пунктом </w:t>
      </w:r>
      <w:r>
        <w:rPr>
          <w:rStyle w:val="CharStyle17"/>
          <w:i/>
          <w:iCs/>
          <w:lang w:val="en-US" w:eastAsia="en-US"/>
        </w:rPr>
        <w:t xml:space="preserve">17 </w:t>
      </w:r>
      <w:r>
        <w:rPr>
          <w:rStyle w:val="CharStyle17"/>
          <w:i/>
          <w:iCs/>
        </w:rPr>
        <w:t xml:space="preserve">части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статьи </w:t>
      </w:r>
      <w:r>
        <w:rPr>
          <w:rStyle w:val="CharStyle17"/>
          <w:i/>
          <w:iCs/>
          <w:lang w:val="en-US" w:eastAsia="en-US"/>
        </w:rPr>
        <w:t xml:space="preserve">12 </w:t>
      </w:r>
      <w:r>
        <w:rPr>
          <w:rStyle w:val="CharStyle17"/>
          <w:i/>
          <w:iCs/>
        </w:rPr>
        <w:t xml:space="preserve">Федерального закона от 04.05.2011г.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>99-ФЗ «О лицензировании отдельных видов деятельности».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 при применении конкурентных способов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На основании абзаца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>Гражданского кодекса РФ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>Вместе с тем, согласно извещению о закупке, положениям проекта контракта, предметом закупки является поставка микроскопа светового, без оказания каких- либо дополнительных услуг, требующих наличие лицензии у исполнителя. Также в устных пояснениях при рассмотрении жалобы по существу представителем Заказчика подтверждено, что техническое обслуживание закупаемого медицинского изделия (микроскопа светового) в рамках данного контракта не требуется.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Таким образом, Комиссия приходит к выводу о нарушении Заказчиком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1,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 xml:space="preserve">Закона о контрактной системе. Установленное нарушение содержит признаки административного правонарушения, ответственность за которое предусмотрена частью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7.30.1 </w:t>
      </w:r>
      <w:r>
        <w:rPr>
          <w:rStyle w:val="CharStyle17"/>
        </w:rPr>
        <w:t>КоАП РФ.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На основании изложенного, руководствуясь частью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о контрактной системе, Комиссия Магаданского УФАС 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РЕШИЛА: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Признать жалобу общества с ограниченной ответственностью «Оптик Мастер» на положения извещения о закупке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Федерального бюджетного учреждения здравоохранения «Центр гигиены и эпидемиологии в Магаданской области» при проведении запроса котировок в электронной форме «Поставка микроскопа светового» (реестровый номер извещения </w:t>
      </w:r>
      <w:r>
        <w:rPr>
          <w:rStyle w:val="CharStyle17"/>
          <w:lang w:val="en-US" w:eastAsia="en-US"/>
        </w:rPr>
        <w:t xml:space="preserve">0347100003126000042) </w:t>
      </w:r>
      <w:r>
        <w:rPr>
          <w:rStyle w:val="CharStyle17"/>
        </w:rPr>
        <w:t xml:space="preserve">обоснованной в части нарушения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7,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Признать в действиях Заказчика нарушение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7,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33, </w:t>
      </w:r>
      <w:r>
        <w:rPr>
          <w:rStyle w:val="CharStyle17"/>
        </w:rPr>
        <w:t xml:space="preserve">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1,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Предписание об устранении выявленных нарушений не выдавать в связи с тем, что закупка отменена Заказчиком.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>Передать материалы дела должностному лицу управления для принятия решения о возбуждении дела об административном правонарушении.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20"/>
        <w:jc w:val="both"/>
      </w:pPr>
      <w:r>
        <w:rPr>
          <w:rStyle w:val="CharStyle17"/>
        </w:rPr>
        <w:t>Решение Комиссии Магаданского УФАС России может быть обжаловано в судебном порядке в течение трех месяцев со дня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5878195</wp:posOffset>
                </wp:positionH>
                <wp:positionV relativeFrom="paragraph">
                  <wp:posOffset>12700</wp:posOffset>
                </wp:positionV>
                <wp:extent cx="1090930" cy="130429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1304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В.В. Солопан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М.К. Жмур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Е.С. Ващенко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2.85000000000002pt;margin-top:1.pt;width:85.900000000000006pt;height:102.7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В.В. Солопан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М.К. Жмур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Е.С. Ващенко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>Председатель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17"/>
        </w:rPr>
        <w:t>Члены комиссии:</w:t>
      </w:r>
    </w:p>
    <w:sectPr>
      <w:headerReference w:type="default" r:id="rId11"/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662" w:right="869" w:bottom="1254" w:left="74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508000</wp:posOffset>
              </wp:positionH>
              <wp:positionV relativeFrom="page">
                <wp:posOffset>10010140</wp:posOffset>
              </wp:positionV>
              <wp:extent cx="6489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2026-1583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0.pt;margin-top:788.20000000000005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2026-1583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2026-1583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1.3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2026-1583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508000</wp:posOffset>
              </wp:positionH>
              <wp:positionV relativeFrom="page">
                <wp:posOffset>10010140</wp:posOffset>
              </wp:positionV>
              <wp:extent cx="648970" cy="12827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2026-1583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40.pt;margin-top:788.20000000000005pt;width:51.100000000000001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2026-1583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3708400</wp:posOffset>
              </wp:positionH>
              <wp:positionV relativeFrom="page">
                <wp:posOffset>509270</wp:posOffset>
              </wp:positionV>
              <wp:extent cx="7302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2.pt;margin-top:40.100000000000001pt;width:5.7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64135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59.800000000000004pt;width:5.0499999999999998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3708400</wp:posOffset>
              </wp:positionH>
              <wp:positionV relativeFrom="page">
                <wp:posOffset>509270</wp:posOffset>
              </wp:positionV>
              <wp:extent cx="73025" cy="1066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292.pt;margin-top:40.100000000000001pt;width:5.75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199"/>
      <w:sz w:val="116"/>
      <w:szCs w:val="116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character" w:customStyle="1" w:styleId="CharStyle11">
    <w:name w:val="Body text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199"/>
      <w:sz w:val="116"/>
      <w:szCs w:val="116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6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paragraph" w:customStyle="1" w:styleId="Style10">
    <w:name w:val="Body text (3)"/>
    <w:basedOn w:val="Normal"/>
    <w:link w:val="CharStyle11"/>
    <w:pPr>
      <w:widowControl w:val="0"/>
      <w:shd w:val="clear" w:color="auto" w:fill="auto"/>
      <w:spacing w:after="2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/Relationships>
</file>