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0"/>
        <w:jc w:val="center"/>
      </w:pP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bookmarkStart w:id="0" w:name="bookmark0"/>
      <w:r>
        <w:rPr>
          <w:rStyle w:val="CharStyle10"/>
        </w:rPr>
        <w:t>21.05.2026</w:t>
      </w:r>
      <w:r>
        <w:fldChar w:fldCharType="end"/>
      </w:r>
      <w:r>
        <w:rPr>
          <w:rStyle w:val="CharStyle10"/>
        </w:rPr>
        <w:tab/>
        <w:t>№ 21613/26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ООО «АНГИОВИЖН»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"mailto:sales@angiovizhn.ru" </w:instrText>
      </w:r>
      <w:r>
        <w:fldChar w:fldCharType="separate"/>
      </w:r>
      <w:r>
        <w:rPr>
          <w:rStyle w:val="CharStyle12"/>
          <w:lang w:val="en-US" w:eastAsia="en-US"/>
        </w:rPr>
        <w:t>sales@angiovizhn.ru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ФГБУ «НМИЦ ТИО им. ак. В.И. Шумакова» Минздрава России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even" r:id="rId9"/>
          <w:footerReference w:type="even" r:id="rId10"/>
          <w:headerReference w:type="first" r:id="rId11"/>
          <w:footerReference w:type="first" r:id="rId12"/>
          <w:footnotePr>
            <w:pos w:val="pageBottom"/>
            <w:numFmt w:val="decimal"/>
            <w:numRestart w:val="continuous"/>
          </w:footnotePr>
          <w:pgSz w:w="11900" w:h="16840"/>
          <w:pgMar w:top="294" w:right="1535" w:bottom="1313" w:left="1265" w:header="0" w:footer="3" w:gutter="0"/>
          <w:pgNumType w:start="1"/>
          <w:cols w:num="2" w:space="1190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"mailto:1582244@mail.ru" </w:instrText>
      </w:r>
      <w:r>
        <w:fldChar w:fldCharType="separate"/>
      </w:r>
      <w:r>
        <w:rPr>
          <w:rStyle w:val="CharStyle12"/>
          <w:lang w:val="en-US" w:eastAsia="en-US"/>
        </w:rPr>
        <w:t>1582244@mail.ru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2" w:after="2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37" w:right="0" w:bottom="107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947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>№ 077/06/105-6380/2026</w:t>
        <w:br/>
      </w:r>
      <w:r>
        <w:rPr>
          <w:rStyle w:val="CharStyle12"/>
          <w:b/>
          <w:bCs/>
        </w:rPr>
        <w:t>о нарушении законодательства о контрактной системе</w:t>
        <w:br/>
      </w:r>
      <w:r>
        <w:rPr>
          <w:rStyle w:val="CharStyle12"/>
          <w:b/>
          <w:bCs/>
          <w:lang w:val="en-US" w:eastAsia="en-US"/>
        </w:rPr>
        <w:t>19.05.2026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главного специалиста-эксперта отдела обжалования государственных закупок Е.Д. Мартьяновой,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Ведущего специалиста-эксперта отдела обжалования государственных закупок </w:t>
      </w:r>
      <w:r>
        <w:rPr>
          <w:rStyle w:val="CharStyle12"/>
          <w:lang w:val="en-US" w:eastAsia="en-US"/>
        </w:rPr>
        <w:t xml:space="preserve">A.A. </w:t>
      </w:r>
      <w:r>
        <w:rPr>
          <w:rStyle w:val="CharStyle12"/>
        </w:rPr>
        <w:t>Леоновой,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Специалиста-эксперта отдела обжалования государственных закупок Е.С. Переверзевой,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при участии представителей: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ФГБУ «НМИЦ ТИО им. ак. В.И. Шумакова» Минздрава России: В.А. Шиловец (по дов. от </w:t>
      </w:r>
      <w:r>
        <w:rPr>
          <w:rStyle w:val="CharStyle12"/>
          <w:lang w:val="en-US" w:eastAsia="en-US"/>
        </w:rPr>
        <w:t xml:space="preserve">11.09.2025 №65), </w:t>
      </w:r>
      <w:r>
        <w:rPr>
          <w:rStyle w:val="CharStyle12"/>
        </w:rPr>
        <w:t xml:space="preserve">И.В. Максимова (по дов. от </w:t>
      </w:r>
      <w:r>
        <w:rPr>
          <w:rStyle w:val="CharStyle12"/>
          <w:lang w:val="en-US" w:eastAsia="en-US"/>
        </w:rPr>
        <w:t>02.04.2026 №27),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ООО «АНГИОВИЖН»: О.С. Коростелевой (по дов. от </w:t>
      </w:r>
      <w:r>
        <w:rPr>
          <w:rStyle w:val="CharStyle12"/>
          <w:lang w:val="en-US" w:eastAsia="en-US"/>
        </w:rPr>
        <w:t>16.04.2026 №5),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рассмотрев жалобу ООО «АНГИОВИЖН»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ФГБУ «НМИЦ ТИО им. ак. В.И. Шумакова» Минздрава России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электронный аукцион на право заключения государственного контракта на поставку проводников для доступа к коронарным/периферическим сосудам, одноразового использования для нужд ФГБУ «НМИЦ ТИО им. ак. В.И. Шумакова» Минздрава России (Закупка </w:t>
      </w:r>
      <w:r>
        <w:rPr>
          <w:rStyle w:val="CharStyle12"/>
          <w:lang w:val="en-US" w:eastAsia="en-US"/>
        </w:rPr>
        <w:t xml:space="preserve">№ 0373100091426000532)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 xml:space="preserve">аукцион, электронный аукцион),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 заседании Комиссии Управления Заказчиком представлены документы и сведения, запрашиваемые письмом Московского УФАС России.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Заявитель обжалует действия Заказчика, выразившиеся в утверждении положений извещения в нарушение законодательства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сопровождение такого указания словами «или эквивалент»;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Таким образом, ст.33 Закона о контрактной систем содержит в себе закрытый перечень случаев, когда Заказчик вправе закупать товары конкретного производителя (пп. «б»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«г» п.1 ч.1 ст.33 Закона о контрактной системе), во всех остальных случаях, совокупности всех требований извещения, в том числе и всем требованиям описания объекта закупки, должны соответствовать товары как минимум двух различных производителей.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700"/>
        <w:jc w:val="both"/>
      </w:pPr>
      <w:r>
        <w:rPr>
          <w:rStyle w:val="CharStyle12"/>
        </w:rPr>
        <w:t>Вместе с тем обязанность по формированию описания объекта закупки в соответствии с положениями ст.33 Закона о контрактной системе возложена на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Заказчика, следовательно, именно Заказчик при формировании извещения об осуществлении закупочной процедуры должен обладать документальным подтверждением соответствие описания объекта закупки требованиям действующего законодательства.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Комиссией Управления установлено, что Заказчиком закупается «Проводник для доступа к коронарным/периферическим сосудам, одноразового использования».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 составе жалобы Заявитель указывает на то, что в нарушение ст.33 Закона о контрактной системе описанию объекта закупки по позиции </w:t>
      </w:r>
      <w:r>
        <w:rPr>
          <w:rStyle w:val="CharStyle12"/>
          <w:lang w:val="en-US" w:eastAsia="en-US"/>
        </w:rPr>
        <w:t xml:space="preserve">1, 5, 6 </w:t>
      </w:r>
      <w:r>
        <w:rPr>
          <w:rStyle w:val="CharStyle12"/>
        </w:rPr>
        <w:t xml:space="preserve">соответствует товар единственного производителя «Конфлюент Медикал Текнолоджиз, Инк.», регистрационного удостоверения РЗН </w:t>
      </w:r>
      <w:r>
        <w:rPr>
          <w:rStyle w:val="CharStyle12"/>
          <w:lang w:val="en-US" w:eastAsia="en-US"/>
        </w:rPr>
        <w:t xml:space="preserve">2013/1063, </w:t>
      </w:r>
      <w:r>
        <w:rPr>
          <w:rStyle w:val="CharStyle12"/>
        </w:rPr>
        <w:t>что подтверждается идентичными показателями и характеристиками.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На заседании Комиссии Управления представитель Заказчика пояснил, что по каждой из оспариваемых позиций, а именно по позиции </w:t>
      </w:r>
      <w:r>
        <w:rPr>
          <w:rStyle w:val="CharStyle12"/>
          <w:lang w:val="en-US" w:eastAsia="en-US"/>
        </w:rPr>
        <w:t xml:space="preserve">1, 5, 6 </w:t>
      </w:r>
      <w:r>
        <w:rPr>
          <w:rStyle w:val="CharStyle12"/>
        </w:rPr>
        <w:t>подходят не менее двух производителей, выпускающих товары, полностью соответствующие установленным характеристикам, а именно: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Проводник ангиографический </w:t>
      </w:r>
      <w:r>
        <w:rPr>
          <w:rStyle w:val="CharStyle12"/>
          <w:lang w:val="en-US" w:eastAsia="en-US"/>
        </w:rPr>
        <w:t xml:space="preserve">RADIFOCUS® Glidewire Advantage, </w:t>
      </w:r>
      <w:r>
        <w:rPr>
          <w:rStyle w:val="CharStyle12"/>
        </w:rPr>
        <w:t xml:space="preserve">вариант исполнения: </w:t>
      </w:r>
      <w:r>
        <w:rPr>
          <w:rStyle w:val="CharStyle12"/>
          <w:lang w:val="en-US" w:eastAsia="en-US"/>
        </w:rPr>
        <w:t xml:space="preserve">RA*CS35185CM, </w:t>
      </w:r>
      <w:r>
        <w:rPr>
          <w:rStyle w:val="CharStyle12"/>
        </w:rPr>
        <w:t xml:space="preserve">Форма кончика Прямой </w:t>
      </w:r>
      <w:r>
        <w:rPr>
          <w:rStyle w:val="CharStyle12"/>
          <w:lang w:val="en-US" w:eastAsia="en-US"/>
        </w:rPr>
        <w:t xml:space="preserve">Straight, </w:t>
      </w:r>
      <w:r>
        <w:rPr>
          <w:rStyle w:val="CharStyle12"/>
        </w:rPr>
        <w:t xml:space="preserve">внешний диаметр </w:t>
      </w:r>
      <w:r>
        <w:rPr>
          <w:rStyle w:val="CharStyle12"/>
          <w:lang w:val="en-US" w:eastAsia="en-US"/>
        </w:rPr>
        <w:t xml:space="preserve">0.035" (0.89 </w:t>
      </w:r>
      <w:r>
        <w:rPr>
          <w:rStyle w:val="CharStyle12"/>
        </w:rPr>
        <w:t xml:space="preserve">мм), длина </w:t>
      </w:r>
      <w:r>
        <w:rPr>
          <w:rStyle w:val="CharStyle12"/>
          <w:lang w:val="en-US" w:eastAsia="en-US"/>
        </w:rPr>
        <w:t xml:space="preserve">180 </w:t>
      </w:r>
      <w:r>
        <w:rPr>
          <w:rStyle w:val="CharStyle12"/>
        </w:rPr>
        <w:t xml:space="preserve">см производства «Терумо Корпорейшн», регистрационного удостоверения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 xml:space="preserve">РЗН </w:t>
      </w:r>
      <w:r>
        <w:rPr>
          <w:rStyle w:val="CharStyle12"/>
          <w:lang w:val="en-US" w:eastAsia="en-US"/>
        </w:rPr>
        <w:t xml:space="preserve">2017/5426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>26.09.2022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Проводник гидрофильный </w:t>
      </w:r>
      <w:r>
        <w:rPr>
          <w:rStyle w:val="CharStyle12"/>
          <w:lang w:val="en-US" w:eastAsia="en-US"/>
        </w:rPr>
        <w:t xml:space="preserve">ZIPwire </w:t>
      </w:r>
      <w:r>
        <w:rPr>
          <w:rStyle w:val="CharStyle12"/>
        </w:rPr>
        <w:t xml:space="preserve">для ЧТА, жесткий, прямой кончик, длина: </w:t>
      </w:r>
      <w:r>
        <w:rPr>
          <w:rStyle w:val="CharStyle12"/>
          <w:lang w:val="en-US" w:eastAsia="en-US"/>
        </w:rPr>
        <w:t xml:space="preserve">180 </w:t>
      </w:r>
      <w:r>
        <w:rPr>
          <w:rStyle w:val="CharStyle12"/>
        </w:rPr>
        <w:t xml:space="preserve">см, диаметр: </w:t>
      </w:r>
      <w:r>
        <w:rPr>
          <w:rStyle w:val="CharStyle12"/>
          <w:lang w:val="en-US" w:eastAsia="en-US"/>
        </w:rPr>
        <w:t xml:space="preserve">0,035 </w:t>
      </w:r>
      <w:r>
        <w:rPr>
          <w:rStyle w:val="CharStyle12"/>
        </w:rPr>
        <w:t xml:space="preserve">дюйма </w:t>
      </w:r>
      <w:r>
        <w:rPr>
          <w:rStyle w:val="CharStyle12"/>
          <w:lang w:val="en-US" w:eastAsia="en-US"/>
        </w:rPr>
        <w:t xml:space="preserve">(0,89 </w:t>
      </w:r>
      <w:r>
        <w:rPr>
          <w:rStyle w:val="CharStyle12"/>
        </w:rPr>
        <w:t xml:space="preserve">мм) производства «Лейк Риджен Медикал», регистрационного удостоверения РЗН </w:t>
      </w:r>
      <w:r>
        <w:rPr>
          <w:rStyle w:val="CharStyle12"/>
          <w:lang w:val="en-US" w:eastAsia="en-US"/>
        </w:rPr>
        <w:t xml:space="preserve">2018/7227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>15.12.2020.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 заседании Комиссии Управления представитель Заявителя согласился, что представленные Заказчиком производители подходят под установленные требования извещения.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 заседании Комиссии Управления представитель Заявителя не отрицал, что вышеуказанные изделия подходят под установленные Заказчиком требования.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12"/>
        </w:rPr>
        <w:t xml:space="preserve">Комиссия Управления отмечает, что Заявителем не представлено доказательств того обстоятельства, что содержащиеся в описании объекта закупки требования необоснованно создали одним участникам закупочной процедуры преимущество перед другими, являются непреодолимыми для некоторых участников закупки, а также каким-либо иным образом повлекли за собой </w:t>
      </w:r>
      <w:r>
        <w:rPr>
          <w:rStyle w:val="CharStyle12"/>
          <w:sz w:val="24"/>
          <w:szCs w:val="24"/>
          <w:lang w:val="en-US" w:eastAsia="en-US"/>
        </w:rPr>
        <w:t>2026-24771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Также Заявителем не представлено доказательств того, что у Заказчика объективно отсутствует необходимость в получении именно тех товаров, с теми качественными, функциональными и техническими характеристиками и именно в той комплектации, которая указана в описании объекта закупки. В свою очередь, при наличии у Заказчика потребности в получении определенных товаров вести речь о необоснованном ограничении им количества потенциальных участников закупки не приходится. Доказательств обратного Заявителем Комиссии Управления не представлено.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Комиссия Управления также отмечает, что предъявленные Заказчиком требования к поставляемому товару в равной степени распространялись на всех участников закупки, ввиду чего любое лицо обладало возможностью закупить и поставить требуемый товар. Каких-либо доказательств невозможности совершения данных действий Заявителем не представлено, ввиду чего у Комиссии отсутствуют правовые основания считать Заказчика нарушившим требования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Таким образом, Комиссия Управления приходит к выводу, что данный довод Заявителя не нашел своего подтверждения и является необоснованным.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37" w:right="545" w:bottom="1070" w:left="1102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.Признать жалобу ООО «АНГИОВИЖН» на действия ФГБУ «НМИЦ ТИО им. ак. В.И. Шумакова» Минздрава России необоснованной.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02" w:val="left"/>
        </w:tabs>
        <w:bidi w:val="0"/>
        <w:spacing w:before="0" w:after="280" w:line="240" w:lineRule="auto"/>
        <w:ind w:left="0" w:right="0" w:firstLine="700"/>
        <w:jc w:val="both"/>
      </w:pPr>
      <w:r>
        <w:rPr>
          <w:rStyle w:val="CharStyle12"/>
        </w:rPr>
        <w:t>.Снять ограничения, наложенные на определение поставщика (подрядчика, исполнителя).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установленном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РФ.</w:t>
      </w:r>
    </w:p>
    <w:p>
      <w:pPr>
        <w:widowControl w:val="0"/>
        <w:spacing w:line="1" w:lineRule="exact"/>
        <w:sectPr>
          <w:headerReference w:type="default" r:id="rId13"/>
          <w:footerReference w:type="default" r:id="rId14"/>
          <w:headerReference w:type="even" r:id="rId15"/>
          <w:footerReference w:type="even" r:id="rId16"/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259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15900" distL="0" distR="0" simplePos="0" relativeHeight="125829378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44040" cy="25019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58.200000000000003pt;margin-top:10.pt;width:145.20000000000002pt;height:19.699999999999999pt;z-index:-125829375;mso-wrap-distance-left:0;mso-wrap-distance-top:10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94310" distB="0" distL="0" distR="1786255" simplePos="0" relativeHeight="125829380" behindDoc="0" locked="0" layoutInCell="1" allowOverlap="1">
            <wp:simplePos x="0" y="0"/>
            <wp:positionH relativeFrom="page">
              <wp:posOffset>3107690</wp:posOffset>
            </wp:positionH>
            <wp:positionV relativeFrom="paragraph">
              <wp:posOffset>194310</wp:posOffset>
            </wp:positionV>
            <wp:extent cx="359410" cy="402590"/>
            <wp:wrapTopAndBottom/>
            <wp:docPr id="20" name="Shap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box 21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285750</wp:posOffset>
                </wp:positionV>
                <wp:extent cx="1722120" cy="259080"/>
                <wp:wrapNone/>
                <wp:docPr id="22" name="Shape 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8" type="#_x0000_t202" style="position:absolute;margin-left:277.80000000000001pt;margin-top:22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15900" distL="0" distR="0" simplePos="0" relativeHeight="125829381" behindDoc="0" locked="0" layoutInCell="1" allowOverlap="1">
                <wp:simplePos x="0" y="0"/>
                <wp:positionH relativeFrom="page">
                  <wp:posOffset>5914390</wp:posOffset>
                </wp:positionH>
                <wp:positionV relativeFrom="paragraph">
                  <wp:posOffset>127000</wp:posOffset>
                </wp:positionV>
                <wp:extent cx="1304290" cy="25019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465.69999999999999pt;margin-top:10.pt;width:102.7pt;height:19.699999999999999pt;z-index:-125829372;mso-wrap-distance-left:0;mso-wrap-distance-top:10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</w:t>
      </w:r>
      <w:r>
        <w:rPr>
          <w:rStyle w:val="CharStyle20"/>
          <w:color w:val="565656"/>
        </w:rPr>
        <w:t xml:space="preserve">выдан: </w:t>
      </w:r>
      <w:r>
        <w:rPr>
          <w:rStyle w:val="CharStyle20"/>
          <w:color w:val="000000"/>
        </w:rPr>
        <w:t>МАРТЬЯНОВА ЕЛЕНА ДМИТРИЕВНА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00EA3D636CED58A70F15417FA130B2F6C</w:t>
      </w:r>
      <w:r>
        <w:rPr>
          <w:rStyle w:val="CharStyle20"/>
          <w:lang w:val="en-US" w:eastAsia="en-US"/>
        </w:rPr>
        <w:t>B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rStyle w:val="CharStyle20"/>
        </w:rPr>
        <w:t xml:space="preserve">Действителен с </w:t>
      </w:r>
      <w:r>
        <w:rPr>
          <w:rStyle w:val="CharStyle20"/>
          <w:color w:val="565656"/>
        </w:rPr>
        <w:t>20.04.2026 по 14.07.2027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rStyle w:val="CharStyle12"/>
        </w:rPr>
        <w:t>Члены Комиссии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7.75pt;margin-top:11.95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А.А. Леонова</w: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Леонова Алена Альбертовна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276EF4D805B62E966E204BCBEB72461C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right="0" w:firstLine="0"/>
        <w:jc w:val="left"/>
      </w:pPr>
      <w:r>
        <w:rPr>
          <w:rStyle w:val="CharStyle20"/>
        </w:rPr>
        <w:t xml:space="preserve">Действителен с 05.12.2025 </w:t>
      </w:r>
      <w:r>
        <w:rPr>
          <w:rStyle w:val="CharStyle20"/>
          <w:color w:val="565656"/>
        </w:rPr>
        <w:t xml:space="preserve">по </w:t>
      </w:r>
      <w:r>
        <w:rPr>
          <w:rStyle w:val="CharStyle20"/>
        </w:rPr>
        <w:t>28.02.2027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4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30" name="Shape 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box 31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151765</wp:posOffset>
                </wp:positionV>
                <wp:extent cx="1725295" cy="259080"/>
                <wp:wrapNone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277.55000000000001pt;margin-top:11.950000000000001pt;width:135.84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Е.С. Переверзева</w:t>
      </w:r>
    </w:p>
    <w:p>
      <w:pPr>
        <w:pStyle w:val="Style17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right="0" w:firstLine="0"/>
        <w:jc w:val="left"/>
      </w:pPr>
      <w:r>
        <w:rPr>
          <w:rStyle w:val="CharStyle18"/>
          <w:color w:val="FFFFFF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ПЕРЕВЕРЗЕВА ЕЛИЗАВЕТА СЕРГЕЕВНА</w:t>
      </w:r>
      <w:r>
        <w:rPr>
          <w:rStyle w:val="CharStyle20"/>
          <w:color w:val="000000"/>
        </w:rPr>
        <w:t xml:space="preserve"> </w:t>
      </w: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00FFF3ACD3A01A73F4C680C3941</w:t>
      </w:r>
      <w:r>
        <w:rPr>
          <w:rStyle w:val="CharStyle20"/>
        </w:rPr>
        <w:t>ЕЗСА026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4940" w:line="266" w:lineRule="auto"/>
        <w:ind w:right="0" w:firstLine="0"/>
        <w:jc w:val="left"/>
      </w:pPr>
      <w:r>
        <w:rPr>
          <w:rStyle w:val="CharStyle20"/>
        </w:rPr>
        <w:t xml:space="preserve">Действителен с 11.12.2025 </w:t>
      </w:r>
      <w:r>
        <w:rPr>
          <w:rStyle w:val="CharStyle20"/>
          <w:color w:val="565656"/>
        </w:rPr>
        <w:t xml:space="preserve">по </w:t>
      </w:r>
      <w:r>
        <w:rPr>
          <w:rStyle w:val="CharStyle20"/>
        </w:rPr>
        <w:t>06.03.2027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5"/>
        </w:rPr>
        <w:t>Исп.Переверзева Е.С. тел.(495)784-75-05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19455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2026-24771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200000000000003pt;margin-top:794.70000000000005pt;width:56.649999999999999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2026-24771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10217150</wp:posOffset>
              </wp:positionV>
              <wp:extent cx="728345" cy="10350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34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2026-24771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6.75pt;margin-top:804.5pt;width:57.350000000000001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2026-24771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19455" cy="103505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2026-24771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57.200000000000003pt;margin-top:794.70000000000005pt;width:56.649999999999999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2026-24771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19455" cy="103505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2026-24771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57.200000000000003pt;margin-top:794.70000000000005pt;width:56.649999999999999pt;height:8.1500000000000004pt;z-index:-1887440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2026-24771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273050</wp:posOffset>
              </wp:positionV>
              <wp:extent cx="76200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pt;margin-top:21.5pt;width:6.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3921125</wp:posOffset>
              </wp:positionH>
              <wp:positionV relativeFrom="page">
                <wp:posOffset>381000</wp:posOffset>
              </wp:positionV>
              <wp:extent cx="67310" cy="6985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308.75pt;margin-top:30.pt;width:5.2999999999999998pt;height:5.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3921125</wp:posOffset>
              </wp:positionH>
              <wp:positionV relativeFrom="page">
                <wp:posOffset>381000</wp:posOffset>
              </wp:positionV>
              <wp:extent cx="67310" cy="6985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08.75pt;margin-top:30.pt;width:5.2999999999999998pt;height:5.5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3921125</wp:posOffset>
              </wp:positionH>
              <wp:positionV relativeFrom="page">
                <wp:posOffset>381000</wp:posOffset>
              </wp:positionV>
              <wp:extent cx="67310" cy="6985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308.75pt;margin-top:30.pt;width:5.2999999999999998pt;height:5.5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8">
    <w:name w:val="Body text (4)_"/>
    <w:basedOn w:val="DefaultParagraphFont"/>
    <w:link w:val="Style17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5">
    <w:name w:val="Body text (5)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B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7">
    <w:name w:val="Body text (4)"/>
    <w:basedOn w:val="Normal"/>
    <w:link w:val="CharStyle18"/>
    <w:pPr>
      <w:widowControl w:val="0"/>
      <w:shd w:val="clear" w:color="auto" w:fill="auto"/>
      <w:spacing w:after="10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4">
    <w:name w:val="Body text (5)"/>
    <w:basedOn w:val="Normal"/>
    <w:link w:val="CharStyle25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header" Target="header5.xml"/><Relationship Id="rId16" Type="http://schemas.openxmlformats.org/officeDocument/2006/relationships/footer" Target="footer5.xml"/><Relationship Id="rId17" Type="http://schemas.openxmlformats.org/officeDocument/2006/relationships/image" Target="media/image2.jpeg"/><Relationship Id="rId18" Type="http://schemas.openxmlformats.org/officeDocument/2006/relationships/image" Target="media/image2.jpeg" TargetMode="External"/><Relationship Id="rId19" Type="http://schemas.openxmlformats.org/officeDocument/2006/relationships/image" Target="media/image3.jpeg"/><Relationship Id="rId20" Type="http://schemas.openxmlformats.org/officeDocument/2006/relationships/image" Target="media/image3.jpeg" TargetMode="External"/><Relationship Id="rId21" Type="http://schemas.openxmlformats.org/officeDocument/2006/relationships/image" Target="media/image4.jpeg"/><Relationship Id="rId22" Type="http://schemas.openxmlformats.org/officeDocument/2006/relationships/image" Target="media/image4.jpeg" TargetMode="External"/></Relationships>
</file>