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0" w:name="bookmark0"/>
      <w:r>
        <w:rPr>
          <w:rStyle w:val="CharStyle3"/>
          <w:color w:val="476199"/>
          <w:lang w:val="en-US" w:eastAsia="en-US"/>
        </w:rPr>
        <w:t>e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2"/>
          <w:b/>
          <w:bCs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Александра Невского, 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Симферополь, Республика Крым, 295000</w:t>
        <w:br/>
        <w:t>тел. (499) 755-23-23 доб. 082-100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9"/>
          <w:lang w:val="en-US" w:eastAsia="en-US"/>
        </w:rPr>
        <w:t>to82@fas.gov.ru</w:t>
      </w:r>
      <w:r>
        <w:fldChar w:fldCharType="end"/>
      </w:r>
    </w:p>
    <w:p>
      <w:pPr>
        <w:pStyle w:val="Style2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after="320" w:line="240" w:lineRule="auto"/>
        <w:ind w:left="0" w:right="0" w:firstLine="0"/>
        <w:jc w:val="center"/>
      </w:pPr>
      <w:bookmarkStart w:id="2" w:name="bookmark2"/>
      <w:r>
        <w:rPr>
          <w:rStyle w:val="CharStyle3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</w:rPr>
        <w:t>5.05.2026</w:t>
        <w:tab/>
      </w:r>
      <w:r>
        <w:fldChar w:fldCharType="end"/>
      </w:r>
      <w:r>
        <w:rPr>
          <w:rStyle w:val="CharStyle3"/>
        </w:rPr>
        <w:t>№ АР/6594/26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ИП Бондаренко Иван Николаевич 197341, г.Санкт-Петербург, вн.тер.г. муниципальный округ Комендантский аэродром, аллея Поликарпова, д. 2, литера а, кв. 697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"mailto:bondarenko.dgv@mail.ru" </w:instrText>
      </w:r>
      <w:r>
        <w:fldChar w:fldCharType="separate"/>
      </w:r>
      <w:r>
        <w:rPr>
          <w:rStyle w:val="CharStyle15"/>
          <w:lang w:val="en-US" w:eastAsia="en-US"/>
        </w:rPr>
        <w:t>bondarenko.dgv@mail.ru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ГБУЗ РК "Евпаторийская городская больница"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пр-кт Победы, д. 22, г. Евпатория, Республика Крым, 297403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"mailto:mail@egb.org.ru"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mail@egb.org.ru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Оператор электронной площадки: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АО «АГЗ РТ»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ул. Московская, д. 55, пом. 510,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61" w:right="675" w:bottom="1217" w:left="1135" w:header="0" w:footer="3" w:gutter="0"/>
          <w:pgNumType w:start="1"/>
          <w:cols w:num="2" w:space="720" w:equalWidth="0">
            <w:col w:w="4186" w:space="1109"/>
            <w:col w:w="4795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г. Казань, Республика Татарстан, 420021 </w:t>
      </w:r>
      <w:r>
        <w:fldChar w:fldCharType="begin"/>
      </w:r>
      <w:r>
        <w:rPr/>
        <w:instrText> HYPERLINK "mailto:info@mail.zakazrf.ru" </w:instrText>
      </w:r>
      <w:r>
        <w:fldChar w:fldCharType="separate"/>
      </w:r>
      <w:r>
        <w:rPr>
          <w:rStyle w:val="CharStyle15"/>
          <w:lang w:val="en-US" w:eastAsia="en-US"/>
        </w:rPr>
        <w:t>info@mail.zakazrf.ru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по делу №082/06/105-988/2026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о нарушении законодательства Российской Федерации</w:t>
        <w:br/>
        <w:t>о контрактной системе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6091555</wp:posOffset>
                </wp:positionH>
                <wp:positionV relativeFrom="paragraph">
                  <wp:posOffset>12700</wp:posOffset>
                </wp:positionV>
                <wp:extent cx="1090930" cy="22542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Симферополь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9.65000000000003pt;margin-top:1.pt;width:85.900000000000006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Симферополь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Резолютивная часть решения оглашена 20.05.2026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</w:rPr>
        <w:t>Решение в полном объеме изготовлено 25.05.2026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межрегиональное УФАС России)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председатель Комиссии – заместитель руководителя Крымского межрегионального УФАС России А.П. Рудакова,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заместитель начальника отдела контроля закупок Крымского межрегионального УФАС России Т.Д.Аблаева,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главный специалист-эксперт отдела контроля закупок Крымского межрегионального УФАС России Э.Л.Халилова,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при участии представителей интересов: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ГБУЗ РК "Евпаторийская городская больница" (далее – Заявитель) – Шмелев Е.А., Мзокава Э.А. (по доверенности);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ИП Бондаренко Иван Николаевич (далее – Заявитель) – Захарова Н.В., Коробов Э.В.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рассмотрев жалобу Заявителя (посредством ЕИС поступила 13.05.2026, вх.№9293/26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rStyle w:val="CharStyle15"/>
        </w:rPr>
        <w:t>14.05.2026) на действия Заказчика при проведении закупки «Поставка расходных изделий медицинского назначения для отделения рентгенохирургических методов диагностики 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rStyle w:val="CharStyle19"/>
        </w:rPr>
        <w:t>1IIIIIIIIIIIIIIIIIIIIII]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</w:rPr>
        <w:t xml:space="preserve">лечения» (извещение </w:t>
      </w:r>
      <w:r>
        <w:rPr>
          <w:rStyle w:val="CharStyle15"/>
          <w:lang w:val="en-US" w:eastAsia="en-US"/>
        </w:rPr>
        <w:t xml:space="preserve">№0375200040226000300)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Закупка), в соответствии со статьей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Крымское УФАС России поступила жалоба Заявителя на действия Заказчика при проведении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По мнению Заявителя, его права и законные интересы нарушены действиями Заказчика, опубликовавшего извещение о Закупке с нарушением требований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Представители Заказчика не согласились с доводами Заявителя и сообщили, что при проведении закупки Заказчик действовал в соответствии с положениями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1.1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российское лицо), за исключением случаев принятия Правительством Российской Федерации мер, предусмотренных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ст.14 Закона о контрактной системе. Если иное не предусмотрено мерами, принятыми Правительством Российской Федерации в соответствии с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системе, положения 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определено, что Правительство Российской Федерации, вправе с учетом положений ч.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принимать меры, устанавливающие: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23.12.2024 N 1875 </w:t>
      </w:r>
      <w:r>
        <w:rPr>
          <w:rStyle w:val="CharStyle15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N 1875) </w:t>
      </w:r>
      <w:r>
        <w:rPr>
          <w:rStyle w:val="CharStyle15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"О закупках товаров, работ, услуг отдельными видами юридических лиц":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иностранные лица), по перечню согласно приложению </w:t>
      </w:r>
      <w:r>
        <w:rPr>
          <w:rStyle w:val="CharStyle15"/>
          <w:lang w:val="en-US" w:eastAsia="en-US"/>
        </w:rPr>
        <w:t xml:space="preserve">N 1, </w:t>
      </w:r>
      <w:r>
        <w:rPr>
          <w:rStyle w:val="CharStyle15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5"/>
          <w:lang w:val="en-US" w:eastAsia="en-US"/>
        </w:rPr>
        <w:t>N 2;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абзацу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подпункта "а" пункта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 xml:space="preserve">при осуществлении закупки товаров, не указанных в позициях </w:t>
      </w:r>
      <w:r>
        <w:rPr>
          <w:rStyle w:val="CharStyle15"/>
          <w:lang w:val="en-US" w:eastAsia="en-US"/>
        </w:rPr>
        <w:t xml:space="preserve">1 - 145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к настоящему постановлению,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 xml:space="preserve">к настоящему постановлению,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на территории Российской Федерации производства такого товара с характеристиками, соответствующими потребности заказчика, а также указание в описании объекта закупки характеристик товара, потребность в котором имеется у заказчика и производство которого на территории Российской Федерации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8" w:right="541" w:bottom="970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Согласно доводу жалобы: </w:t>
      </w:r>
      <w:r>
        <w:rPr>
          <w:rStyle w:val="CharStyle15"/>
          <w:i/>
          <w:iCs/>
          <w:lang w:val="en-US" w:eastAsia="en-US"/>
        </w:rPr>
        <w:t>«...</w:t>
      </w:r>
      <w:r>
        <w:rPr>
          <w:rStyle w:val="CharStyle15"/>
          <w:i/>
          <w:iCs/>
        </w:rPr>
        <w:t>Заказчиком в Извещении установлено преимущество в отношении товаров российского происхождения, выполняемых работ, оказываемых услуг российскими лицами, в соответствии с положениями Постановления №1875.Анализ описания объекта закупки показал, что не по всем позициям подходит товар, производящийся в Российской Федерации. Однако Заказчик в Извещении не продекларировал факта отсутствия».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Согласно извещению о проведении закупки объектом закупки является «Поставка расходных изделий медицинского назначения для отделения рентгенохирургических методов диагностики и лечения».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извещении Заказчиком установлено преимущество в соответствии с Постановлением </w:t>
      </w:r>
      <w:r>
        <w:rPr>
          <w:rStyle w:val="CharStyle15"/>
          <w:lang w:val="en-US" w:eastAsia="en-US"/>
        </w:rPr>
        <w:t>N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Согласно позиции Заказчика, по всем позициям Технического задания существуют медицинские изделия, производство которых зарегистрировано на территории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Заявителем представлена сравнительная таблица, указывающая, что предложенные Заказчиком медицинские изделия не соответствуют совокупности требований Технического задания. Таким образом, по мнению Заявителя, по ряду позиций соответствует лишь товар иностранного производства, в связи с чем невозможно предложение товара, производящегося на территории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Вместе с тем, Заказчиком сведений и документов, опровергающих позицию Заявителя, в материалы дела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образом, информации о наличии товара российского производства, соответствующего описанию объекта закупки по ряду позиций Технического задания, Заказчиком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Комиссией установлено, что при формировании извещения Заказчиком не размещена декларация факта отсутствия на территории Российской Федерации производства товара с характеристиками, соответствующими потребностям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Заказчиком нарушены требования части </w:t>
      </w:r>
      <w:r>
        <w:rPr>
          <w:rStyle w:val="CharStyle15"/>
          <w:lang w:val="en-US" w:eastAsia="en-US"/>
        </w:rPr>
        <w:t xml:space="preserve">1.1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системе, что образует состав нарушения по 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7.30.1 </w:t>
      </w:r>
      <w:r>
        <w:rPr>
          <w:rStyle w:val="CharStyle15"/>
        </w:rPr>
        <w:t>КоАП РФ. Довод жалобы признается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сопровождение такого указания словами "или эквивалент";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4" w:val="left"/>
        </w:tabs>
        <w:bidi w:val="0"/>
        <w:spacing w:before="0" w:after="0" w:line="329" w:lineRule="auto"/>
        <w:ind w:left="0" w:right="0" w:firstLine="72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666" w:right="545" w:bottom="735" w:left="1101" w:header="0" w:footer="307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</w:t>
      </w:r>
      <w:r>
        <w:rPr>
          <w:rStyle w:val="CharStyle15"/>
          <w:lang w:val="en-US" w:eastAsia="en-US"/>
        </w:rPr>
        <w:t>2026-7494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Согласно доводу жалобы: </w:t>
      </w:r>
      <w:r>
        <w:rPr>
          <w:rStyle w:val="CharStyle15"/>
          <w:i/>
          <w:iCs/>
          <w:lang w:val="en-US" w:eastAsia="en-US"/>
        </w:rPr>
        <w:t>«...</w:t>
      </w:r>
      <w:r>
        <w:rPr>
          <w:rStyle w:val="CharStyle15"/>
          <w:i/>
          <w:iCs/>
        </w:rPr>
        <w:t xml:space="preserve">Указание на </w:t>
      </w:r>
      <w:r>
        <w:rPr>
          <w:rStyle w:val="CharStyle15"/>
          <w:i/>
          <w:iCs/>
          <w:lang w:val="en-US" w:eastAsia="en-US"/>
        </w:rPr>
        <w:t xml:space="preserve">«Amplatz» </w:t>
      </w:r>
      <w:r>
        <w:rPr>
          <w:rStyle w:val="CharStyle15"/>
          <w:i/>
          <w:iCs/>
        </w:rPr>
        <w:t xml:space="preserve">и </w:t>
      </w:r>
      <w:r>
        <w:rPr>
          <w:rStyle w:val="CharStyle15"/>
          <w:i/>
          <w:iCs/>
          <w:lang w:val="en-US" w:eastAsia="en-US"/>
        </w:rPr>
        <w:t xml:space="preserve">«Amplatz Super Stiff» </w:t>
      </w:r>
      <w:r>
        <w:rPr>
          <w:rStyle w:val="CharStyle15"/>
          <w:i/>
          <w:iCs/>
        </w:rPr>
        <w:t xml:space="preserve">является указанием на товарный знак. При этом требование не сопровождается словами «или эквивалент». Согласно сведениям с официального сайта ФИПС </w:t>
      </w:r>
      <w:r>
        <w:rPr>
          <w:rStyle w:val="CharStyle15"/>
          <w:i/>
          <w:iCs/>
          <w:lang w:val="en-US" w:eastAsia="en-US"/>
        </w:rPr>
        <w:t>(</w:t>
      </w:r>
      <w:r>
        <w:fldChar w:fldCharType="begin"/>
      </w:r>
      <w:r>
        <w:rPr/>
        <w:instrText> HYPERLINK "https://fips.ru/registers-web/" </w:instrText>
      </w:r>
      <w:r>
        <w:fldChar w:fldCharType="separate"/>
      </w:r>
      <w:r>
        <w:rPr>
          <w:rStyle w:val="CharStyle15"/>
          <w:i/>
          <w:iCs/>
          <w:lang w:val="en-US" w:eastAsia="en-US"/>
        </w:rPr>
        <w:t>https://fips.ru/registers-web/</w:t>
      </w:r>
      <w:r>
        <w:fldChar w:fldCharType="end"/>
      </w:r>
      <w:r>
        <w:rPr>
          <w:rStyle w:val="CharStyle15"/>
          <w:i/>
          <w:iCs/>
          <w:lang w:val="en-US" w:eastAsia="en-US"/>
        </w:rPr>
        <w:t xml:space="preserve">) </w:t>
      </w:r>
      <w:r>
        <w:rPr>
          <w:rStyle w:val="CharStyle15"/>
          <w:i/>
          <w:iCs/>
        </w:rPr>
        <w:t xml:space="preserve">и информации компании </w:t>
      </w:r>
      <w:r>
        <w:rPr>
          <w:rStyle w:val="CharStyle15"/>
          <w:i/>
          <w:iCs/>
          <w:lang w:val="en-US" w:eastAsia="en-US"/>
        </w:rPr>
        <w:t xml:space="preserve">Boston Scientific, Amplatz Super Stiff— </w:t>
      </w:r>
      <w:r>
        <w:rPr>
          <w:rStyle w:val="CharStyle15"/>
          <w:i/>
          <w:iCs/>
        </w:rPr>
        <w:t xml:space="preserve">зарегистрированный товарный знак компании </w:t>
      </w:r>
      <w:r>
        <w:rPr>
          <w:rStyle w:val="CharStyle15"/>
          <w:i/>
          <w:iCs/>
          <w:lang w:val="en-US" w:eastAsia="en-US"/>
        </w:rPr>
        <w:t xml:space="preserve">Boston Scientific </w:t>
      </w:r>
      <w:r>
        <w:rPr>
          <w:rStyle w:val="CharStyle15"/>
          <w:i/>
          <w:iCs/>
        </w:rPr>
        <w:t>или её аффилированных лиц».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Согласно возражениям Заказчика: </w:t>
      </w:r>
      <w:r>
        <w:rPr>
          <w:rStyle w:val="CharStyle15"/>
          <w:i/>
          <w:iCs/>
          <w:lang w:val="en-US" w:eastAsia="en-US"/>
        </w:rPr>
        <w:t>«...</w:t>
      </w:r>
      <w:r>
        <w:rPr>
          <w:rStyle w:val="CharStyle15"/>
          <w:i/>
          <w:iCs/>
        </w:rPr>
        <w:t xml:space="preserve">Указание «по типу </w:t>
      </w:r>
      <w:r>
        <w:rPr>
          <w:rStyle w:val="CharStyle15"/>
          <w:i/>
          <w:iCs/>
          <w:lang w:val="en-US" w:eastAsia="en-US"/>
        </w:rPr>
        <w:t xml:space="preserve">Amplatz» </w:t>
      </w:r>
      <w:r>
        <w:rPr>
          <w:rStyle w:val="CharStyle15"/>
          <w:i/>
          <w:iCs/>
        </w:rPr>
        <w:t xml:space="preserve">и «по типу </w:t>
      </w:r>
      <w:r>
        <w:rPr>
          <w:rStyle w:val="CharStyle15"/>
          <w:i/>
          <w:iCs/>
          <w:lang w:val="en-US" w:eastAsia="en-US"/>
        </w:rPr>
        <w:t xml:space="preserve">Amplatz Super Stiff» </w:t>
      </w:r>
      <w:r>
        <w:rPr>
          <w:rStyle w:val="CharStyle15"/>
          <w:i/>
          <w:iCs/>
        </w:rPr>
        <w:t>использовано Заказчиком исключительно как обозначение требуемого уровня жесткости и эксплуатационных свойств медицинского изделия, применяемое в медицинской и профессиональной практике. При этом Заказчиком не установлено требование о поставке товара конкретного производителя, а также не содержится запрета на предложение эквивалентных изделий иных производителей.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i/>
          <w:iCs/>
        </w:rPr>
        <w:t xml:space="preserve">Формулировка «по типу» сама по себе указывает на возможность поставки аналогичного изделия с сопоставимыми характеристиками. Практика ФАС России исходит из того, что использование в описании объекта закупки слов «по типу», «не хуже», «аналог» не свидетельствует автоматически о наличии нарушения статьи </w:t>
      </w:r>
      <w:r>
        <w:rPr>
          <w:rStyle w:val="CharStyle15"/>
          <w:i/>
          <w:iCs/>
          <w:lang w:val="en-US" w:eastAsia="en-US"/>
        </w:rPr>
        <w:t xml:space="preserve">33 </w:t>
      </w:r>
      <w:r>
        <w:rPr>
          <w:rStyle w:val="CharStyle15"/>
          <w:i/>
          <w:iCs/>
        </w:rPr>
        <w:t xml:space="preserve">Закона </w:t>
      </w:r>
      <w:r>
        <w:rPr>
          <w:rStyle w:val="CharStyle15"/>
          <w:i/>
          <w:iCs/>
          <w:lang w:val="en-US" w:eastAsia="en-US"/>
        </w:rPr>
        <w:t xml:space="preserve">№ </w:t>
      </w:r>
      <w:r>
        <w:rPr>
          <w:rStyle w:val="CharStyle15"/>
          <w:i/>
          <w:iCs/>
        </w:rPr>
        <w:t>44-ФЗ, если описание позволяет предложить эквивалентный товар и не ограничивает конкуренцию».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Комиссией установлено, что согласно Техническому заданию Заказчиком установлена характеристика </w:t>
      </w:r>
      <w:r>
        <w:rPr>
          <w:rStyle w:val="CharStyle15"/>
          <w:i/>
          <w:iCs/>
        </w:rPr>
        <w:t xml:space="preserve">«Материал сердечника </w:t>
      </w:r>
      <w:r>
        <w:rPr>
          <w:rStyle w:val="CharStyle15"/>
          <w:i/>
          <w:iCs/>
          <w:lang w:val="en-US" w:eastAsia="en-US"/>
        </w:rPr>
        <w:t xml:space="preserve">- </w:t>
      </w:r>
      <w:r>
        <w:rPr>
          <w:rStyle w:val="CharStyle15"/>
          <w:i/>
          <w:iCs/>
        </w:rPr>
        <w:t xml:space="preserve">жесткая сталь по типу </w:t>
      </w:r>
      <w:r>
        <w:rPr>
          <w:rStyle w:val="CharStyle15"/>
          <w:i/>
          <w:iCs/>
          <w:lang w:val="en-US" w:eastAsia="en-US"/>
        </w:rPr>
        <w:t xml:space="preserve">Amplatz </w:t>
      </w:r>
      <w:r>
        <w:rPr>
          <w:rStyle w:val="CharStyle15"/>
          <w:i/>
          <w:iCs/>
        </w:rPr>
        <w:t xml:space="preserve">или жесткая сталь по типу </w:t>
      </w:r>
      <w:r>
        <w:rPr>
          <w:rStyle w:val="CharStyle15"/>
          <w:i/>
          <w:iCs/>
          <w:lang w:val="en-US" w:eastAsia="en-US"/>
        </w:rPr>
        <w:t>Amplatz Super Stiff».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Таким образом, Заказчик, указав при описании объекта закупки товарный знак без возможности поставки "эквивалента" нарушил положения подпункта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системе, что содержит признаки административного правонарушения, ответственность за совершение которого предусмотрена частью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7.30.1 </w:t>
      </w:r>
      <w:r>
        <w:rPr>
          <w:rStyle w:val="CharStyle15"/>
        </w:rPr>
        <w:t>КоАП РФ. Довод жалобы признается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Также Заявитель указывает о невозможности объективной проверки характеристики «жесткая сталь по типу </w:t>
      </w:r>
      <w:r>
        <w:rPr>
          <w:rStyle w:val="CharStyle15"/>
          <w:lang w:val="en-US" w:eastAsia="en-US"/>
        </w:rPr>
        <w:t xml:space="preserve">Amplatz </w:t>
      </w:r>
      <w:r>
        <w:rPr>
          <w:rStyle w:val="CharStyle15"/>
        </w:rPr>
        <w:t xml:space="preserve">или жесткая сталь по типу </w:t>
      </w:r>
      <w:r>
        <w:rPr>
          <w:rStyle w:val="CharStyle15"/>
          <w:lang w:val="en-US" w:eastAsia="en-US"/>
        </w:rPr>
        <w:t>Amplatz Super Stiff».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Согласно пояснениям Заявителя, указанная характеристика не содержится в регистрационном удостоверении, не подлежит проверке по данным регистрационного досье, а также отсутствует утвержденная методика испытания для подтверждения данной характеристики в рамках приемки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Вместе с тем, Заказчиком не представлены пояснения по доводу, а также документы и сведения, опровергающие позицию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связи с чем, Комиссия приходит к выводу о нарушении Заказчиком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в части ненадлежащего описания объекта закупки, что содержит признаки административного правонарушения, ответственность за совершение которого предусмотрена частью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7.30.1 </w:t>
      </w:r>
      <w:r>
        <w:rPr>
          <w:rStyle w:val="CharStyle15"/>
        </w:rPr>
        <w:t>КоАП РФ. Довод Заявителя признается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Вместе с тем, Комиссией не установлено, что выявленные нарушения повлияли на результаты определения поставщика (подрядчика, исполнителя), в связи с чем принимается решение не выдавать предписание 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Руководствуясь частью </w:t>
      </w:r>
      <w:r>
        <w:rPr>
          <w:rStyle w:val="CharStyle15"/>
          <w:lang w:val="en-US" w:eastAsia="en-US"/>
        </w:rPr>
        <w:t xml:space="preserve">15, 22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.Признать жалобу Заявителя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.Признать в действиях Заказчика нарушение требований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42, </w:t>
      </w:r>
      <w:r>
        <w:rPr>
          <w:rStyle w:val="CharStyle15"/>
        </w:rPr>
        <w:t xml:space="preserve">подпункта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33,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1.1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.Предписание об устранении нарушений Закона о контрактной системе не выдавать.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1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.Передать материалы дела должностному лицу для рассмотрения вопроса о возбуждении дела об административном правонарушении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38" w:right="540" w:bottom="1321" w:left="10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71475" distL="0" distR="0" simplePos="0" relativeHeight="125829380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101600</wp:posOffset>
                </wp:positionV>
                <wp:extent cx="1633855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99999999999999pt;margin-top:8.pt;width:128.65000000000001pt;height:17.300000000000001pt;z-index:-125829373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1450" distB="0" distL="0" distR="1786255" simplePos="0" relativeHeight="125829382" behindDoc="0" locked="0" layoutInCell="1" allowOverlap="1">
            <wp:simplePos x="0" y="0"/>
            <wp:positionH relativeFrom="page">
              <wp:posOffset>3009265</wp:posOffset>
            </wp:positionH>
            <wp:positionV relativeFrom="paragraph">
              <wp:posOffset>171450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3469640</wp:posOffset>
                </wp:positionH>
                <wp:positionV relativeFrom="paragraph">
                  <wp:posOffset>576580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3.19999999999999pt;margin-top:45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3429635</wp:posOffset>
                </wp:positionH>
                <wp:positionV relativeFrom="paragraph">
                  <wp:posOffset>259715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0.05000000000001pt;margin-top:20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3850" distB="143510" distL="0" distR="0" simplePos="0" relativeHeight="125829383" behindDoc="0" locked="0" layoutInCell="1" allowOverlap="1">
                <wp:simplePos x="0" y="0"/>
                <wp:positionH relativeFrom="page">
                  <wp:posOffset>6203315</wp:posOffset>
                </wp:positionH>
                <wp:positionV relativeFrom="paragraph">
                  <wp:posOffset>323850</wp:posOffset>
                </wp:positionV>
                <wp:extent cx="981710" cy="22542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А.П. Рудакова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8.44999999999999pt;margin-top:25.5pt;width:77.299999999999997pt;height:17.75pt;z-index:-125829370;mso-wrap-distance-left:0;mso-wrap-distance-top:25.5pt;mso-wrap-distance-right:0;mso-wrap-distance-bottom:11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А.П. Рудакова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Рудакова Анна Павловна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00BA9D090B51F51B7B58A4FE530CFAC1D</w:t>
      </w:r>
      <w:r>
        <w:rPr>
          <w:rStyle w:val="CharStyle25"/>
          <w:lang w:val="en-US" w:eastAsia="en-US"/>
        </w:rPr>
        <w:t>J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5"/>
        </w:rPr>
        <w:t xml:space="preserve">Действителен с 30.09.2025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24.12.2026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70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3011805</wp:posOffset>
            </wp:positionH>
            <wp:positionV relativeFrom="paragraph">
              <wp:posOffset>50800</wp:posOffset>
            </wp:positionV>
            <wp:extent cx="353695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3469005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3.15000000000003pt;margin-top:35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3426460</wp:posOffset>
                </wp:positionH>
                <wp:positionV relativeFrom="paragraph">
                  <wp:posOffset>139065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9.80000000000001pt;margin-top:10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Т.Д.Аблаева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</w:t>
      </w:r>
      <w:r>
        <w:rPr>
          <w:rStyle w:val="CharStyle25"/>
          <w:color w:val="565656"/>
        </w:rPr>
        <w:t xml:space="preserve">выдан: </w:t>
      </w:r>
      <w:r>
        <w:rPr>
          <w:rStyle w:val="CharStyle25"/>
          <w:color w:val="000000"/>
        </w:rPr>
        <w:t>Аблаева Тамила Дамировна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4733B3A7BE9AECCB64C56AF61AC4B24D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5"/>
        </w:rPr>
        <w:t xml:space="preserve">Действителен с 14.11.2025 </w:t>
      </w:r>
      <w:r>
        <w:rPr>
          <w:rStyle w:val="CharStyle25"/>
          <w:color w:val="565656"/>
        </w:rPr>
        <w:t>по 07.02.2027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50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3011805</wp:posOffset>
            </wp:positionH>
            <wp:positionV relativeFrom="paragraph">
              <wp:posOffset>12700</wp:posOffset>
            </wp:positionV>
            <wp:extent cx="353695" cy="4330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3429635</wp:posOffset>
                </wp:positionH>
                <wp:positionV relativeFrom="paragraph">
                  <wp:posOffset>137795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0.05000000000001pt;margin-top:10.8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Э.Л.Халилова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Халилова Эльзара Лемаровна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262CC982FDFF03A83738D0712409E9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5"/>
        </w:rPr>
        <w:t xml:space="preserve">Действителен с 12.11.2025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05.02.2027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51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10010140</wp:posOffset>
              </wp:positionV>
              <wp:extent cx="6489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2026-7494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950000000000003pt;margin-top:788.20000000000005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2026-7494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89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2026-7494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5.70000000000005pt;width:51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2026-7494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10010140</wp:posOffset>
              </wp:positionV>
              <wp:extent cx="64897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2026-7494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950000000000003pt;margin-top:788.20000000000005pt;width:51.100000000000001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2026-7494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615315</wp:posOffset>
              </wp:positionV>
              <wp:extent cx="6985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5000000000003pt;margin-top:48.450000000000003pt;width:5.5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793115</wp:posOffset>
              </wp:positionV>
              <wp:extent cx="67310" cy="8826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62.450000000000003pt;width:5.2999999999999998pt;height:6.95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615315</wp:posOffset>
              </wp:positionV>
              <wp:extent cx="6985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5000000000003pt;margin-top:48.450000000000003pt;width:5.5pt;height:10.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–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ing #2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ing #2"/>
    <w:basedOn w:val="Normal"/>
    <w:link w:val="CharStyle3"/>
    <w:pPr>
      <w:widowControl w:val="0"/>
      <w:shd w:val="clear" w:color="auto" w:fill="auto"/>
      <w:spacing w:after="3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100"/>
      <w:ind w:left="43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image" Target="media/image1.jpeg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/Relationships>
</file>