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 xml:space="preserve">ООО «Медпартс» </w:t>
      </w:r>
      <w:r>
        <w:fldChar w:fldCharType="begin"/>
      </w:r>
      <w:r>
        <w:rPr/>
        <w:instrText> HYPERLINK "mailto:medparts@yahoo.com" </w:instrText>
      </w:r>
      <w:r>
        <w:fldChar w:fldCharType="separate"/>
      </w:r>
      <w:r>
        <w:rPr>
          <w:rStyle w:val="CharStyle10"/>
          <w:lang w:val="en-US" w:eastAsia="en-US"/>
        </w:rPr>
        <w:t>medparts@yahoo.com</w:t>
      </w:r>
      <w:r>
        <w:fldChar w:fldCharType="end"/>
      </w:r>
    </w:p>
    <w:p>
      <w:pPr>
        <w:pStyle w:val="Style9"/>
        <w:keepNext w:val="0"/>
        <w:keepLines w:val="0"/>
        <w:widowControl w:val="0"/>
        <w:shd w:val="clear" w:color="auto" w:fill="auto"/>
        <w:bidi w:val="0"/>
        <w:spacing w:before="0" w:after="0" w:line="240" w:lineRule="auto"/>
        <w:ind w:left="0" w:right="0" w:firstLine="0"/>
        <w:jc w:val="left"/>
      </w:pPr>
      <w:r>
        <w:rPr>
          <w:rStyle w:val="CharStyle10"/>
        </w:rPr>
        <w:t>ГБУЗ «ГКБ № 31 им. академика Г.М</w:t>
      </w:r>
    </w:p>
    <w:p>
      <w:pPr>
        <w:pStyle w:val="Style9"/>
        <w:keepNext w:val="0"/>
        <w:keepLines w:val="0"/>
        <w:widowControl w:val="0"/>
        <w:shd w:val="clear" w:color="auto" w:fill="auto"/>
        <w:bidi w:val="0"/>
        <w:spacing w:before="0" w:after="0" w:line="240" w:lineRule="auto"/>
        <w:ind w:left="0" w:right="0" w:firstLine="0"/>
        <w:jc w:val="left"/>
      </w:pPr>
      <w:r>
        <w:rPr>
          <w:rStyle w:val="CharStyle10"/>
        </w:rPr>
        <w:t>Савельевой ДЗМ»</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055" w:bottom="617" w:left="1135" w:header="0" w:footer="3" w:gutter="0"/>
          <w:pgNumType w:start="1"/>
          <w:cols w:num="2" w:space="830"/>
          <w:noEndnote/>
          <w:titlePg/>
          <w:rtlGutter w:val="0"/>
          <w:docGrid w:linePitch="360"/>
        </w:sectPr>
      </w:pPr>
      <w:r>
        <w:fldChar w:fldCharType="begin"/>
      </w:r>
      <w:r>
        <w:rPr/>
        <w:instrText> HYPERLINK "mailto:LCDI-ogz31@zdrav.mos.ru" </w:instrText>
      </w:r>
      <w:r>
        <w:fldChar w:fldCharType="separate"/>
      </w:r>
      <w:r>
        <w:rPr>
          <w:rStyle w:val="CharStyle10"/>
          <w:lang w:val="en-US" w:eastAsia="en-US"/>
        </w:rPr>
        <w:t>LCDI-ogz31@zdrav.mos.ru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62" w:right="0" w:bottom="64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942" w:val="left"/>
        </w:tabs>
        <w:bidi w:val="0"/>
        <w:spacing w:before="0" w:after="0" w:line="240" w:lineRule="auto"/>
        <w:ind w:left="0" w:right="0" w:firstLine="0"/>
        <w:jc w:val="center"/>
      </w:pPr>
      <w:r>
        <w:rPr>
          <w:rStyle w:val="CharStyle10"/>
          <w:b/>
          <w:bCs/>
        </w:rPr>
        <w:t>по делу № 077/06/105-6389/2026 о нарушении</w:t>
        <w:br/>
        <w:t>законодательства о контрактной системе</w:t>
        <w:br/>
        <w:t>19.05.2026</w:t>
        <w:tab/>
        <w:t>г. Москва</w:t>
      </w:r>
    </w:p>
    <w:p>
      <w:pPr>
        <w:pStyle w:val="Style9"/>
        <w:keepNext w:val="0"/>
        <w:keepLines w:val="0"/>
        <w:widowControl w:val="0"/>
        <w:shd w:val="clear" w:color="auto" w:fill="auto"/>
        <w:bidi w:val="0"/>
        <w:spacing w:before="0" w:after="0" w:line="240" w:lineRule="auto"/>
        <w:ind w:left="0" w:right="0" w:firstLine="66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660"/>
        <w:jc w:val="both"/>
      </w:pPr>
      <w:r>
        <w:rPr>
          <w:rStyle w:val="CharStyle10"/>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620"/>
        <w:jc w:val="both"/>
      </w:pPr>
      <w:r>
        <w:rPr>
          <w:rStyle w:val="CharStyle10"/>
        </w:rPr>
        <w:t>Члены Комиссии:</w:t>
      </w:r>
    </w:p>
    <w:p>
      <w:pPr>
        <w:pStyle w:val="Style9"/>
        <w:keepNext w:val="0"/>
        <w:keepLines w:val="0"/>
        <w:widowControl w:val="0"/>
        <w:shd w:val="clear" w:color="auto" w:fill="auto"/>
        <w:bidi w:val="0"/>
        <w:spacing w:before="0" w:after="0" w:line="240" w:lineRule="auto"/>
        <w:ind w:left="0" w:right="0" w:firstLine="660"/>
        <w:jc w:val="both"/>
      </w:pPr>
      <w:r>
        <w:rPr>
          <w:rStyle w:val="CharStyle10"/>
        </w:rPr>
        <w:t>Главного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660"/>
        <w:jc w:val="both"/>
      </w:pPr>
      <w:r>
        <w:rPr>
          <w:rStyle w:val="CharStyle10"/>
        </w:rPr>
        <w:t>Ведущего специалиста-эксперта отдела обжалования государственных закупок М.В. Сорбучевой,</w:t>
      </w:r>
    </w:p>
    <w:p>
      <w:pPr>
        <w:pStyle w:val="Style9"/>
        <w:keepNext w:val="0"/>
        <w:keepLines w:val="0"/>
        <w:widowControl w:val="0"/>
        <w:shd w:val="clear" w:color="auto" w:fill="auto"/>
        <w:bidi w:val="0"/>
        <w:spacing w:before="0" w:after="0" w:line="240" w:lineRule="auto"/>
        <w:ind w:left="0" w:right="0" w:firstLine="660"/>
        <w:jc w:val="both"/>
      </w:pPr>
      <w:r>
        <w:rPr>
          <w:rStyle w:val="CharStyle10"/>
        </w:rPr>
        <w:t>рассмотрение жалобы проводилось дистанционно (посредством конференц-связи),</w:t>
      </w:r>
    </w:p>
    <w:p>
      <w:pPr>
        <w:pStyle w:val="Style9"/>
        <w:keepNext w:val="0"/>
        <w:keepLines w:val="0"/>
        <w:widowControl w:val="0"/>
        <w:shd w:val="clear" w:color="auto" w:fill="auto"/>
        <w:bidi w:val="0"/>
        <w:spacing w:before="0" w:after="0" w:line="240" w:lineRule="auto"/>
        <w:ind w:left="0" w:right="0" w:firstLine="660"/>
        <w:jc w:val="both"/>
      </w:pPr>
      <w:r>
        <w:rPr>
          <w:rStyle w:val="CharStyle10"/>
        </w:rPr>
        <w:t>при участии представителя ГБУЗ «ГКБ № 31 им. академика Г.М. Савельевой ДЗМ»: Ж.А. Карнауховой (по дов. от 20.01.2026 №б/н),</w:t>
      </w:r>
    </w:p>
    <w:p>
      <w:pPr>
        <w:pStyle w:val="Style9"/>
        <w:keepNext w:val="0"/>
        <w:keepLines w:val="0"/>
        <w:widowControl w:val="0"/>
        <w:shd w:val="clear" w:color="auto" w:fill="auto"/>
        <w:bidi w:val="0"/>
        <w:spacing w:before="0" w:after="0" w:line="240" w:lineRule="auto"/>
        <w:ind w:left="0" w:right="0" w:firstLine="660"/>
        <w:jc w:val="both"/>
      </w:pPr>
      <w:r>
        <w:rPr>
          <w:rStyle w:val="CharStyle10"/>
        </w:rPr>
        <w:t>в отсутствие представителей ООО «Медпартс», о времени и порядке заседания Комиссии Управления уведомленных надлежащим образом посредством размещения сведений в Единой информационной системе (далее — ЕИС),</w:t>
      </w:r>
    </w:p>
    <w:p>
      <w:pPr>
        <w:pStyle w:val="Style9"/>
        <w:keepNext w:val="0"/>
        <w:keepLines w:val="0"/>
        <w:widowControl w:val="0"/>
        <w:shd w:val="clear" w:color="auto" w:fill="auto"/>
        <w:bidi w:val="0"/>
        <w:spacing w:before="0" w:after="240" w:line="240" w:lineRule="auto"/>
        <w:ind w:left="0" w:right="0" w:firstLine="660"/>
        <w:jc w:val="both"/>
      </w:pPr>
      <w:r>
        <w:rPr>
          <w:rStyle w:val="CharStyle10"/>
        </w:rPr>
        <w:t xml:space="preserve">рассмотрев жалобу ООО «Медпартс» (далее — Заявитель) на действия ГБУЗ «ГКБ № 31 им. академика Г.М. Савельевой ДЗМ» (далее — Заказчик) при проведении запроса котировок в электронной форме на право заключения государственного контракта на поставку медицинских изделий для гематологического анализатора </w:t>
      </w:r>
      <w:r>
        <w:rPr>
          <w:rStyle w:val="CharStyle10"/>
          <w:lang w:val="en-US" w:eastAsia="en-US"/>
        </w:rPr>
        <w:t xml:space="preserve">Mindray </w:t>
      </w:r>
      <w:r>
        <w:rPr>
          <w:rStyle w:val="CharStyle10"/>
        </w:rPr>
        <w:t>Лот 4 для нужд ГБУЗ «ГКБ №31 им. академика Г.М. Савельевой ДЗМ» (Закупка № 0373200025626000305) (далее – запрос котировок),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jc w:val="both"/>
      </w:pPr>
      <w:bookmarkStart w:id="0" w:name="bookmark0"/>
      <w:r>
        <w:rPr>
          <w:rStyle w:val="CharStyle13"/>
        </w:rPr>
        <w:t>IIIIIIIIIIIIIIIIIIIIIIIIIIII</w:t>
      </w:r>
      <w:bookmarkEnd w:id="0"/>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Московское УФАС России поступила жалоба Заявителя на действия комиссии по осуществлению закупок Заказчика (далее </w:t>
      </w:r>
      <w:r>
        <w:rPr>
          <w:rStyle w:val="CharStyle10"/>
          <w:lang w:val="en-US" w:eastAsia="en-US"/>
        </w:rPr>
        <w:t xml:space="preserve">— </w:t>
      </w:r>
      <w:r>
        <w:rPr>
          <w:rStyle w:val="CharStyle10"/>
        </w:rPr>
        <w:t>комиссия Заказчика) при проведении вышеуказанного запроса котировок.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Заявитель обжалует действия комиссии Заказчика, выразившиеся в неправомерном отклонении своей заявки.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протоколу подведения итогов определения поставщика (подрядчика, исполнителя) от </w:t>
      </w:r>
      <w:r>
        <w:rPr>
          <w:rStyle w:val="CharStyle10"/>
          <w:lang w:val="en-US" w:eastAsia="en-US"/>
        </w:rPr>
        <w:t xml:space="preserve">08.05.2026 </w:t>
      </w:r>
      <w:r>
        <w:rPr>
          <w:rStyle w:val="CharStyle10"/>
        </w:rPr>
        <w:t xml:space="preserve">№ИЗК1 заявка Заявителя с идентификационным номером </w:t>
      </w:r>
      <w:r>
        <w:rPr>
          <w:rStyle w:val="CharStyle10"/>
          <w:lang w:val="en-US" w:eastAsia="en-US"/>
        </w:rPr>
        <w:t xml:space="preserve">3188446 </w:t>
      </w:r>
      <w:r>
        <w:rPr>
          <w:rStyle w:val="CharStyle10"/>
        </w:rPr>
        <w:t>отклонена на следующем основании:</w:t>
      </w:r>
    </w:p>
    <w:p>
      <w:pPr>
        <w:pStyle w:val="Style9"/>
        <w:keepNext w:val="0"/>
        <w:keepLines w:val="0"/>
        <w:widowControl w:val="0"/>
        <w:shd w:val="clear" w:color="auto" w:fill="auto"/>
        <w:bidi w:val="0"/>
        <w:spacing w:before="0" w:after="0" w:line="240" w:lineRule="auto"/>
        <w:ind w:left="0" w:right="0" w:firstLine="720"/>
        <w:jc w:val="both"/>
      </w:pPr>
      <w:r>
        <w:rPr>
          <w:rStyle w:val="CharStyle10"/>
          <w:i/>
          <w:iCs/>
        </w:rPr>
        <w:t xml:space="preserve">«Отклонить заявку на участие в закупке по п.8 ч.12 ст.48 №44-ФЗ «Выявление недостоверной информации, содержащейся в заявке на участие в закупке» Участник закупки в заявке в структурированном виде предлагает к поставке медицинское изделие по позиции </w:t>
      </w:r>
      <w:r>
        <w:rPr>
          <w:rStyle w:val="CharStyle10"/>
          <w:i/>
          <w:iCs/>
          <w:lang w:val="en-US" w:eastAsia="en-US"/>
        </w:rPr>
        <w:t xml:space="preserve">1 </w:t>
      </w:r>
      <w:r>
        <w:rPr>
          <w:rStyle w:val="CharStyle10"/>
          <w:i/>
          <w:iCs/>
        </w:rPr>
        <w:t xml:space="preserve">«Реагент для Подсчета лейкоцитов ДМ-68ФД ДАЙ для анализаторов автоматических гематологических по ТУ </w:t>
      </w:r>
      <w:r>
        <w:rPr>
          <w:rStyle w:val="CharStyle10"/>
          <w:i/>
          <w:iCs/>
          <w:lang w:val="en-US" w:eastAsia="en-US"/>
        </w:rPr>
        <w:t xml:space="preserve">20.59.52-003-66418557-2021 - </w:t>
      </w:r>
      <w:r>
        <w:rPr>
          <w:rStyle w:val="CharStyle10"/>
          <w:i/>
          <w:iCs/>
        </w:rPr>
        <w:t xml:space="preserve">пакетик </w:t>
      </w:r>
      <w:r>
        <w:rPr>
          <w:rStyle w:val="CharStyle10"/>
          <w:i/>
          <w:iCs/>
          <w:lang w:val="en-US" w:eastAsia="en-US"/>
        </w:rPr>
        <w:t xml:space="preserve">0,012 </w:t>
      </w:r>
      <w:r>
        <w:rPr>
          <w:rStyle w:val="CharStyle10"/>
          <w:i/>
          <w:iCs/>
        </w:rPr>
        <w:t xml:space="preserve">л» по регистрационному удостоверению РЗН </w:t>
      </w:r>
      <w:r>
        <w:rPr>
          <w:rStyle w:val="CharStyle10"/>
          <w:i/>
          <w:iCs/>
          <w:lang w:val="en-US" w:eastAsia="en-US"/>
        </w:rPr>
        <w:t xml:space="preserve">2024/23447 </w:t>
      </w:r>
      <w:r>
        <w:rPr>
          <w:rStyle w:val="CharStyle10"/>
          <w:i/>
          <w:iCs/>
        </w:rPr>
        <w:t>Акционерное общество «Современные Диагностические Системы»</w:t>
      </w:r>
    </w:p>
    <w:p>
      <w:pPr>
        <w:pStyle w:val="Style9"/>
        <w:keepNext w:val="0"/>
        <w:keepLines w:val="0"/>
        <w:widowControl w:val="0"/>
        <w:shd w:val="clear" w:color="auto" w:fill="auto"/>
        <w:bidi w:val="0"/>
        <w:spacing w:before="0" w:after="0" w:line="240" w:lineRule="auto"/>
        <w:ind w:left="0" w:right="0" w:firstLine="720"/>
        <w:jc w:val="both"/>
      </w:pPr>
      <w:r>
        <w:rPr>
          <w:rStyle w:val="CharStyle10"/>
          <w:i/>
          <w:iCs/>
        </w:rPr>
        <w:t xml:space="preserve">(АО «СДС»), Россия. В составе заявки по характеристики «Объем реагента» участник указывает значение </w:t>
      </w:r>
      <w:r>
        <w:rPr>
          <w:rStyle w:val="CharStyle10"/>
          <w:i/>
          <w:iCs/>
          <w:lang w:val="en-US" w:eastAsia="en-US"/>
        </w:rPr>
        <w:t xml:space="preserve">«48 </w:t>
      </w:r>
      <w:r>
        <w:rPr>
          <w:rStyle w:val="CharStyle10"/>
          <w:i/>
          <w:iCs/>
        </w:rPr>
        <w:t>Кубический сантиметр; миллилитр», что соответствует допустимому значению.</w:t>
      </w:r>
    </w:p>
    <w:p>
      <w:pPr>
        <w:pStyle w:val="Style9"/>
        <w:keepNext w:val="0"/>
        <w:keepLines w:val="0"/>
        <w:widowControl w:val="0"/>
        <w:shd w:val="clear" w:color="auto" w:fill="auto"/>
        <w:bidi w:val="0"/>
        <w:spacing w:before="0" w:after="0" w:line="240" w:lineRule="auto"/>
        <w:ind w:left="0" w:right="0" w:firstLine="720"/>
        <w:jc w:val="both"/>
      </w:pPr>
      <w:r>
        <w:rPr>
          <w:rStyle w:val="CharStyle10"/>
          <w:i/>
          <w:iCs/>
        </w:rPr>
        <w:t xml:space="preserve">Однако, согласно информации сайта Росздравнадзора по регистрационному удостоверению РЗН </w:t>
      </w:r>
      <w:r>
        <w:rPr>
          <w:rStyle w:val="CharStyle10"/>
          <w:i/>
          <w:iCs/>
          <w:lang w:val="en-US" w:eastAsia="en-US"/>
        </w:rPr>
        <w:t xml:space="preserve">2024/23447 </w:t>
      </w:r>
      <w:r>
        <w:rPr>
          <w:rStyle w:val="CharStyle10"/>
          <w:i/>
          <w:iCs/>
        </w:rPr>
        <w:t xml:space="preserve">на предложенные изделия АО "СДС" заявленного объема не зарегистрировано, согласно регистрационному удостоверению объем флакона составляет </w:t>
      </w:r>
      <w:r>
        <w:rPr>
          <w:rStyle w:val="CharStyle10"/>
          <w:i/>
          <w:iCs/>
          <w:lang w:val="en-US" w:eastAsia="en-US"/>
        </w:rPr>
        <w:t xml:space="preserve">0,012 </w:t>
      </w:r>
      <w:r>
        <w:rPr>
          <w:rStyle w:val="CharStyle10"/>
          <w:i/>
          <w:iCs/>
        </w:rPr>
        <w:t>литр. Таким образом, в заявке Участника содержится недостоверная информация».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п.1, п.3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0"/>
          <w:lang w:val="en-US" w:eastAsia="en-US"/>
        </w:rPr>
        <w:t xml:space="preserve">33 </w:t>
      </w:r>
      <w:r>
        <w:rPr>
          <w:rStyle w:val="CharStyle10"/>
        </w:rPr>
        <w:t>Закона о контрактной системе,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Комиссией Управления установлено, что согласно описанию объекта закупки Заказчиком установлены следующие требования к характеристикам приобретаемого товара «Подсчет клеток крови ИВД, реагент» позиции КТРУ </w:t>
      </w:r>
      <w:r>
        <w:rPr>
          <w:rStyle w:val="CharStyle10"/>
          <w:lang w:val="en-US" w:eastAsia="en-US"/>
        </w:rPr>
        <w:t xml:space="preserve">21.20.23.110-00005037, </w:t>
      </w:r>
      <w:r>
        <w:rPr>
          <w:rStyle w:val="CharStyle10"/>
        </w:rPr>
        <w:t>в том числе: «</w:t>
      </w:r>
      <w:r>
        <w:rPr>
          <w:rStyle w:val="CharStyle10"/>
          <w:i/>
          <w:iCs/>
        </w:rPr>
        <w:t xml:space="preserve">Объем реагента: </w:t>
      </w:r>
      <w:r>
        <w:rPr>
          <w:rStyle w:val="CharStyle10"/>
          <w:i/>
          <w:iCs/>
          <w:lang w:val="en-US" w:eastAsia="en-US"/>
        </w:rPr>
        <w:t xml:space="preserve">≥ 42 </w:t>
      </w:r>
      <w:r>
        <w:rPr>
          <w:rStyle w:val="CharStyle10"/>
          <w:i/>
          <w:iCs/>
        </w:rPr>
        <w:t xml:space="preserve">и </w:t>
      </w:r>
      <w:r>
        <w:rPr>
          <w:rStyle w:val="CharStyle10"/>
          <w:i/>
          <w:iCs/>
          <w:lang w:val="en-US" w:eastAsia="en-US"/>
        </w:rPr>
        <w:t xml:space="preserve">≤ 192 </w:t>
      </w:r>
      <w:r>
        <w:rPr>
          <w:rStyle w:val="CharStyle10"/>
          <w:i/>
          <w:iCs/>
        </w:rPr>
        <w:t>Кубический сантиметр; миллилитр</w:t>
      </w:r>
      <w:r>
        <w:rPr>
          <w:rStyle w:val="CharStyle10"/>
        </w:rPr>
        <w:t>».</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Наряду с этим Комиссией Управления установлено, что в п.6 электронного документа «Требования к содержанию, составу заявки на участие в закупке» извещения отражено требование о предоставлении сведений о наличии у предложенного к поставке товара регистрационного удостоверения.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ч.1 ст.50 Закона о контрактной системе заявка на участие в закупке должна содержать информацию и документы, предусмотренные пп. «м» </w:t>
      </w:r>
      <w:r>
        <w:rPr>
          <w:rStyle w:val="CharStyle10"/>
          <w:lang w:val="en-US" w:eastAsia="en-US"/>
        </w:rPr>
        <w:t xml:space="preserve">- </w:t>
      </w:r>
      <w:r>
        <w:rPr>
          <w:rStyle w:val="CharStyle10"/>
        </w:rPr>
        <w:t xml:space="preserve">«п» п.1, пп. «а» </w:t>
      </w:r>
      <w:r>
        <w:rPr>
          <w:rStyle w:val="CharStyle10"/>
          <w:lang w:val="en-US" w:eastAsia="en-US"/>
        </w:rPr>
        <w:t xml:space="preserve">- </w:t>
      </w:r>
      <w:r>
        <w:rPr>
          <w:rStyle w:val="CharStyle10"/>
        </w:rPr>
        <w:t>«в» п.2, п.3 или п.4,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соответствии с п. </w:t>
      </w:r>
      <w:r>
        <w:rPr>
          <w:rStyle w:val="CharStyle10"/>
          <w:lang w:val="en-US" w:eastAsia="en-US"/>
        </w:rPr>
        <w:t xml:space="preserve">2 </w:t>
      </w:r>
      <w:r>
        <w:rPr>
          <w:rStyle w:val="CharStyle10"/>
        </w:rPr>
        <w:t xml:space="preserve">ч. </w:t>
      </w:r>
      <w:r>
        <w:rPr>
          <w:rStyle w:val="CharStyle10"/>
          <w:lang w:val="en-US" w:eastAsia="en-US"/>
        </w:rPr>
        <w:t xml:space="preserve">1 </w:t>
      </w:r>
      <w:r>
        <w:rPr>
          <w:rStyle w:val="CharStyle10"/>
        </w:rPr>
        <w:t xml:space="preserve">ст. </w:t>
      </w:r>
      <w:r>
        <w:rPr>
          <w:rStyle w:val="CharStyle10"/>
          <w:lang w:val="en-US" w:eastAsia="en-US"/>
        </w:rPr>
        <w:t xml:space="preserve">43 </w:t>
      </w:r>
      <w:r>
        <w:rPr>
          <w:rStyle w:val="CharStyle10"/>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rStyle w:val="CharStyle10"/>
        </w:rPr>
        <w:t xml:space="preserve">с учетом положений ч. </w:t>
      </w:r>
      <w:r>
        <w:rPr>
          <w:rStyle w:val="CharStyle10"/>
          <w:lang w:val="en-US" w:eastAsia="en-US"/>
        </w:rPr>
        <w:t xml:space="preserve">2 </w:t>
      </w:r>
      <w:r>
        <w:rPr>
          <w:rStyle w:val="CharStyle10"/>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10"/>
          <w:lang w:val="en-US" w:eastAsia="en-US"/>
        </w:rPr>
        <w:t xml:space="preserve">2 </w:t>
      </w:r>
      <w:r>
        <w:rPr>
          <w:rStyle w:val="CharStyle10"/>
        </w:rPr>
        <w:t xml:space="preserve">ст. </w:t>
      </w:r>
      <w:r>
        <w:rPr>
          <w:rStyle w:val="CharStyle10"/>
          <w:lang w:val="en-US" w:eastAsia="en-US"/>
        </w:rPr>
        <w:t xml:space="preserve">33 </w:t>
      </w:r>
      <w:r>
        <w:rPr>
          <w:rStyle w:val="CharStyle10"/>
        </w:rPr>
        <w:t>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10"/>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10"/>
          <w:lang w:val="en-US" w:eastAsia="en-US"/>
        </w:rPr>
        <w:t xml:space="preserve">2 </w:t>
      </w:r>
      <w:r>
        <w:rPr>
          <w:rStyle w:val="CharStyle10"/>
        </w:rPr>
        <w:t xml:space="preserve">ст. </w:t>
      </w:r>
      <w:r>
        <w:rPr>
          <w:rStyle w:val="CharStyle10"/>
          <w:lang w:val="en-US" w:eastAsia="en-US"/>
        </w:rPr>
        <w:t xml:space="preserve">43 </w:t>
      </w:r>
      <w:r>
        <w:rPr>
          <w:rStyle w:val="CharStyle10"/>
        </w:rPr>
        <w:t>Закона о контрактной системе;</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rStyle w:val="CharStyle1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028" w:val="left"/>
        </w:tabs>
        <w:bidi w:val="0"/>
        <w:spacing w:before="0" w:after="0" w:line="240" w:lineRule="auto"/>
        <w:ind w:left="0" w:right="0" w:firstLine="700"/>
        <w:jc w:val="both"/>
      </w:pPr>
      <w:r>
        <w:rPr>
          <w:rStyle w:val="CharStyle10"/>
        </w:rPr>
        <w:t xml:space="preserve">с учетом положений ч. </w:t>
      </w:r>
      <w:r>
        <w:rPr>
          <w:rStyle w:val="CharStyle10"/>
          <w:lang w:val="en-US" w:eastAsia="en-US"/>
        </w:rPr>
        <w:t xml:space="preserve">2 </w:t>
      </w:r>
      <w:r>
        <w:rPr>
          <w:rStyle w:val="CharStyle10"/>
        </w:rPr>
        <w:t xml:space="preserve">ст. </w:t>
      </w:r>
      <w:r>
        <w:rPr>
          <w:rStyle w:val="CharStyle10"/>
          <w:lang w:val="en-US" w:eastAsia="en-US"/>
        </w:rPr>
        <w:t xml:space="preserve">43 </w:t>
      </w:r>
      <w:r>
        <w:rPr>
          <w:rStyle w:val="CharStyle10"/>
        </w:rPr>
        <w:t xml:space="preserve">Закона о контрактной системе предложение по критериям, предусмотренным п. </w:t>
      </w:r>
      <w:r>
        <w:rPr>
          <w:rStyle w:val="CharStyle10"/>
          <w:lang w:val="en-US" w:eastAsia="en-US"/>
        </w:rPr>
        <w:t xml:space="preserve">2 </w:t>
      </w:r>
      <w:r>
        <w:rPr>
          <w:rStyle w:val="CharStyle10"/>
        </w:rPr>
        <w:t xml:space="preserve">и (или) </w:t>
      </w:r>
      <w:r>
        <w:rPr>
          <w:rStyle w:val="CharStyle10"/>
          <w:lang w:val="en-US" w:eastAsia="en-US"/>
        </w:rPr>
        <w:t xml:space="preserve">3 </w:t>
      </w:r>
      <w:r>
        <w:rPr>
          <w:rStyle w:val="CharStyle10"/>
        </w:rPr>
        <w:t xml:space="preserve">ч. </w:t>
      </w:r>
      <w:r>
        <w:rPr>
          <w:rStyle w:val="CharStyle10"/>
          <w:lang w:val="en-US" w:eastAsia="en-US"/>
        </w:rPr>
        <w:t xml:space="preserve">1 </w:t>
      </w:r>
      <w:r>
        <w:rPr>
          <w:rStyle w:val="CharStyle10"/>
        </w:rPr>
        <w:t xml:space="preserve">ст. </w:t>
      </w:r>
      <w:r>
        <w:rPr>
          <w:rStyle w:val="CharStyle10"/>
          <w:lang w:val="en-US" w:eastAsia="en-US"/>
        </w:rPr>
        <w:t xml:space="preserve">32 </w:t>
      </w:r>
      <w:r>
        <w:rPr>
          <w:rStyle w:val="CharStyle10"/>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10"/>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установлено, что Заявитель в составе заявки конклюдентно согласился поставить товар на условиях извещения, а также предоставил в частности следующие сведения о характеристиках предложенного к поставке изделие с наименованием медицинского изделия в соответствии с</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регистрационным удостоверением №РЗН </w:t>
      </w:r>
      <w:r>
        <w:rPr>
          <w:rStyle w:val="CharStyle10"/>
          <w:lang w:val="en-US" w:eastAsia="en-US"/>
        </w:rPr>
        <w:t xml:space="preserve">2024/23447 </w:t>
      </w:r>
      <w:r>
        <w:rPr>
          <w:rStyle w:val="CharStyle10"/>
        </w:rPr>
        <w:t xml:space="preserve">от </w:t>
      </w:r>
      <w:r>
        <w:rPr>
          <w:rStyle w:val="CharStyle10"/>
          <w:lang w:val="en-US" w:eastAsia="en-US"/>
        </w:rPr>
        <w:t xml:space="preserve">23.08.2024 </w:t>
      </w:r>
      <w:r>
        <w:rPr>
          <w:rStyle w:val="CharStyle10"/>
        </w:rPr>
        <w:t xml:space="preserve">«Реагент для Подсчета лейкоцитов ДМ-68ФД ДАЙ для анализаторов автоматических гематологических по ТУ </w:t>
      </w:r>
      <w:r>
        <w:rPr>
          <w:rStyle w:val="CharStyle10"/>
          <w:lang w:val="en-US" w:eastAsia="en-US"/>
        </w:rPr>
        <w:t xml:space="preserve">20.59.52-003-66418557-2021 - </w:t>
      </w:r>
      <w:r>
        <w:rPr>
          <w:rStyle w:val="CharStyle10"/>
        </w:rPr>
        <w:t xml:space="preserve">пакетик </w:t>
      </w:r>
      <w:r>
        <w:rPr>
          <w:rStyle w:val="CharStyle10"/>
          <w:lang w:val="en-US" w:eastAsia="en-US"/>
        </w:rPr>
        <w:t xml:space="preserve">0,012 </w:t>
      </w:r>
      <w:r>
        <w:rPr>
          <w:rStyle w:val="CharStyle10"/>
        </w:rPr>
        <w:t>л»: «</w:t>
      </w:r>
      <w:r>
        <w:rPr>
          <w:rStyle w:val="CharStyle10"/>
          <w:i/>
          <w:iCs/>
        </w:rPr>
        <w:t xml:space="preserve">Объем реагента: </w:t>
      </w:r>
      <w:r>
        <w:rPr>
          <w:rStyle w:val="CharStyle10"/>
          <w:i/>
          <w:iCs/>
          <w:lang w:val="en-US" w:eastAsia="en-US"/>
        </w:rPr>
        <w:t xml:space="preserve">48 </w:t>
      </w:r>
      <w:r>
        <w:rPr>
          <w:rStyle w:val="CharStyle10"/>
          <w:i/>
          <w:iCs/>
        </w:rPr>
        <w:t>Кубический сантиметр; миллилитр</w:t>
      </w:r>
      <w:r>
        <w:rPr>
          <w:rStyle w:val="CharStyle10"/>
        </w:rPr>
        <w:t>».</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составе жалобы Заявитель указал, что в описании объекта закупки установлена единица измерения </w:t>
      </w:r>
      <w:r>
        <w:rPr>
          <w:rStyle w:val="CharStyle10"/>
          <w:lang w:val="en-US" w:eastAsia="en-US"/>
        </w:rPr>
        <w:t xml:space="preserve">– </w:t>
      </w:r>
      <w:r>
        <w:rPr>
          <w:rStyle w:val="CharStyle10"/>
        </w:rPr>
        <w:t xml:space="preserve">штуки и общее количество штук: </w:t>
      </w:r>
      <w:r>
        <w:rPr>
          <w:rStyle w:val="CharStyle10"/>
          <w:lang w:val="en-US" w:eastAsia="en-US"/>
        </w:rPr>
        <w:t xml:space="preserve">102. </w:t>
      </w:r>
      <w:r>
        <w:rPr>
          <w:rStyle w:val="CharStyle10"/>
        </w:rPr>
        <w:t xml:space="preserve">В то же время, понятию «штука» может соответствовать </w:t>
      </w:r>
      <w:r>
        <w:rPr>
          <w:rStyle w:val="CharStyle10"/>
          <w:lang w:val="en-US" w:eastAsia="en-US"/>
        </w:rPr>
        <w:t xml:space="preserve">1 </w:t>
      </w:r>
      <w:r>
        <w:rPr>
          <w:rStyle w:val="CharStyle10"/>
        </w:rPr>
        <w:t xml:space="preserve">флакон реагента объемом </w:t>
      </w:r>
      <w:r>
        <w:rPr>
          <w:rStyle w:val="CharStyle10"/>
          <w:lang w:val="en-US" w:eastAsia="en-US"/>
        </w:rPr>
        <w:t xml:space="preserve">48 </w:t>
      </w:r>
      <w:r>
        <w:rPr>
          <w:rStyle w:val="CharStyle10"/>
        </w:rPr>
        <w:t xml:space="preserve">мл или </w:t>
      </w:r>
      <w:r>
        <w:rPr>
          <w:rStyle w:val="CharStyle10"/>
          <w:lang w:val="en-US" w:eastAsia="en-US"/>
        </w:rPr>
        <w:t xml:space="preserve">1 </w:t>
      </w:r>
      <w:r>
        <w:rPr>
          <w:rStyle w:val="CharStyle10"/>
        </w:rPr>
        <w:t xml:space="preserve">набор, состоящий из </w:t>
      </w:r>
      <w:r>
        <w:rPr>
          <w:rStyle w:val="CharStyle10"/>
          <w:lang w:val="en-US" w:eastAsia="en-US"/>
        </w:rPr>
        <w:t xml:space="preserve">4 </w:t>
      </w:r>
      <w:r>
        <w:rPr>
          <w:rStyle w:val="CharStyle10"/>
        </w:rPr>
        <w:t xml:space="preserve">флаконов реагента объемом </w:t>
      </w:r>
      <w:r>
        <w:rPr>
          <w:rStyle w:val="CharStyle10"/>
          <w:lang w:val="en-US" w:eastAsia="en-US"/>
        </w:rPr>
        <w:t xml:space="preserve">12 </w:t>
      </w:r>
      <w:r>
        <w:rPr>
          <w:rStyle w:val="CharStyle10"/>
        </w:rPr>
        <w:t>миллилитров каждый.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связи с чем в составе своей заявки Заявителем предложен к поставке подсчет лейкоцитов ДМ-68ФД ДАЙ для анализаторов автоматических гематологических по ТУ </w:t>
      </w:r>
      <w:r>
        <w:rPr>
          <w:rStyle w:val="CharStyle10"/>
          <w:lang w:val="en-US" w:eastAsia="en-US"/>
        </w:rPr>
        <w:t xml:space="preserve">20.59.52-003-66418557-2021 - </w:t>
      </w:r>
      <w:r>
        <w:rPr>
          <w:rStyle w:val="CharStyle10"/>
        </w:rPr>
        <w:t xml:space="preserve">пакетик </w:t>
      </w:r>
      <w:r>
        <w:rPr>
          <w:rStyle w:val="CharStyle10"/>
          <w:lang w:val="en-US" w:eastAsia="en-US"/>
        </w:rPr>
        <w:t xml:space="preserve">0,012 </w:t>
      </w:r>
      <w:r>
        <w:rPr>
          <w:rStyle w:val="CharStyle10"/>
        </w:rPr>
        <w:t xml:space="preserve">л в количестве </w:t>
      </w:r>
      <w:r>
        <w:rPr>
          <w:rStyle w:val="CharStyle10"/>
          <w:lang w:val="en-US" w:eastAsia="en-US"/>
        </w:rPr>
        <w:t xml:space="preserve">102 </w:t>
      </w:r>
      <w:r>
        <w:rPr>
          <w:rStyle w:val="CharStyle10"/>
        </w:rPr>
        <w:t xml:space="preserve">наборов, каждый из которых состоит из </w:t>
      </w:r>
      <w:r>
        <w:rPr>
          <w:rStyle w:val="CharStyle10"/>
          <w:lang w:val="en-US" w:eastAsia="en-US"/>
        </w:rPr>
        <w:t xml:space="preserve">4 </w:t>
      </w:r>
      <w:r>
        <w:rPr>
          <w:rStyle w:val="CharStyle10"/>
        </w:rPr>
        <w:t xml:space="preserve">флаконов (пакетов) по </w:t>
      </w:r>
      <w:r>
        <w:rPr>
          <w:rStyle w:val="CharStyle10"/>
          <w:lang w:val="en-US" w:eastAsia="en-US"/>
        </w:rPr>
        <w:t xml:space="preserve">0,012 </w:t>
      </w:r>
      <w:r>
        <w:rPr>
          <w:rStyle w:val="CharStyle10"/>
        </w:rPr>
        <w:t xml:space="preserve">л. </w:t>
      </w:r>
      <w:r>
        <w:rPr>
          <w:rStyle w:val="CharStyle10"/>
          <w:lang w:val="en-US" w:eastAsia="en-US"/>
        </w:rPr>
        <w:t xml:space="preserve">(12 </w:t>
      </w:r>
      <w:r>
        <w:rPr>
          <w:rStyle w:val="CharStyle10"/>
        </w:rPr>
        <w:t xml:space="preserve">миллилитров). </w:t>
      </w:r>
      <w:r>
        <w:rPr>
          <w:rStyle w:val="CharStyle10"/>
          <w:lang w:val="en-US" w:eastAsia="en-US"/>
        </w:rPr>
        <w:t xml:space="preserve">4 </w:t>
      </w:r>
      <w:r>
        <w:rPr>
          <w:rStyle w:val="CharStyle10"/>
        </w:rPr>
        <w:t xml:space="preserve">флакона по </w:t>
      </w:r>
      <w:r>
        <w:rPr>
          <w:rStyle w:val="CharStyle10"/>
          <w:lang w:val="en-US" w:eastAsia="en-US"/>
        </w:rPr>
        <w:t xml:space="preserve">0,012 </w:t>
      </w:r>
      <w:r>
        <w:rPr>
          <w:rStyle w:val="CharStyle10"/>
        </w:rPr>
        <w:t xml:space="preserve">л каждый позволяет достичь значения </w:t>
      </w:r>
      <w:r>
        <w:rPr>
          <w:rStyle w:val="CharStyle10"/>
          <w:lang w:val="en-US" w:eastAsia="en-US"/>
        </w:rPr>
        <w:t xml:space="preserve">0,048 </w:t>
      </w:r>
      <w:r>
        <w:rPr>
          <w:rStyle w:val="CharStyle10"/>
        </w:rPr>
        <w:t>л, что соответствует требуемому диапазону объему реагента.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в жалобе презюмируется, что недостоверных сведений в составе заявки представлено не было, вследствие чего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от </w:t>
      </w:r>
      <w:r>
        <w:rPr>
          <w:rStyle w:val="CharStyle10"/>
          <w:lang w:val="en-US" w:eastAsia="en-US"/>
        </w:rPr>
        <w:t xml:space="preserve">08.05.2026 </w:t>
      </w:r>
      <w:r>
        <w:rPr>
          <w:rStyle w:val="CharStyle10"/>
        </w:rPr>
        <w:t>№ИЗК1, является неправомерным.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 </w:t>
      </w:r>
      <w:r>
        <w:rPr>
          <w:rStyle w:val="CharStyle10"/>
          <w:lang w:val="en-US" w:eastAsia="en-US"/>
        </w:rPr>
        <w:t xml:space="preserve">1 </w:t>
      </w:r>
      <w:r>
        <w:rPr>
          <w:rStyle w:val="CharStyle10"/>
        </w:rPr>
        <w:t xml:space="preserve">ст. </w:t>
      </w:r>
      <w:r>
        <w:rPr>
          <w:rStyle w:val="CharStyle10"/>
          <w:lang w:val="en-US" w:eastAsia="en-US"/>
        </w:rPr>
        <w:t xml:space="preserve">106 </w:t>
      </w:r>
      <w:r>
        <w:rPr>
          <w:rStyle w:val="CharStyle10"/>
        </w:rPr>
        <w:t>Закона о контрактной системе лица, права и законные</w:t>
      </w:r>
    </w:p>
    <w:p>
      <w:pPr>
        <w:pStyle w:val="Style9"/>
        <w:keepNext w:val="0"/>
        <w:keepLines w:val="0"/>
        <w:widowControl w:val="0"/>
        <w:shd w:val="clear" w:color="auto" w:fill="auto"/>
        <w:bidi w:val="0"/>
        <w:spacing w:before="0" w:after="0" w:line="240" w:lineRule="auto"/>
        <w:ind w:left="0" w:right="0" w:firstLine="0"/>
        <w:jc w:val="both"/>
      </w:pPr>
      <w:r>
        <w:rPr>
          <w:rStyle w:val="CharStyle10"/>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заседании Комиссии Управления представитель Заказчика пояснил, что при рассмотрении заявки Заявителя комиссией Заказчика определено, что участником закупки декларировано значение объема реагентов </w:t>
      </w:r>
      <w:r>
        <w:rPr>
          <w:rStyle w:val="CharStyle10"/>
          <w:lang w:val="en-US" w:eastAsia="en-US"/>
        </w:rPr>
        <w:t xml:space="preserve">«48 </w:t>
      </w:r>
      <w:r>
        <w:rPr>
          <w:rStyle w:val="CharStyle10"/>
        </w:rPr>
        <w:t xml:space="preserve">Кубический сантиметр; миллилитр». Однако из регистрационного досье регистрационного удостоверения </w:t>
      </w:r>
      <w:r>
        <w:rPr>
          <w:rStyle w:val="CharStyle10"/>
          <w:lang w:val="en-US" w:eastAsia="en-US"/>
        </w:rPr>
        <w:t xml:space="preserve">№ </w:t>
      </w:r>
      <w:r>
        <w:rPr>
          <w:rStyle w:val="CharStyle10"/>
        </w:rPr>
        <w:t xml:space="preserve">РЗН </w:t>
      </w:r>
      <w:r>
        <w:rPr>
          <w:rStyle w:val="CharStyle10"/>
          <w:lang w:val="en-US" w:eastAsia="en-US"/>
        </w:rPr>
        <w:t xml:space="preserve">2024/23447, </w:t>
      </w:r>
      <w:r>
        <w:rPr>
          <w:rStyle w:val="CharStyle10"/>
        </w:rPr>
        <w:t xml:space="preserve">размещенного в реестре медицинских изделий Росздравнадзора, присутствует информация о том, что предложенный реагент имеет фасовку </w:t>
      </w:r>
      <w:r>
        <w:rPr>
          <w:rStyle w:val="CharStyle10"/>
          <w:lang w:val="en-US" w:eastAsia="en-US"/>
        </w:rPr>
        <w:t xml:space="preserve">0,012 </w:t>
      </w:r>
      <w:r>
        <w:rPr>
          <w:rStyle w:val="CharStyle10"/>
        </w:rPr>
        <w:t xml:space="preserve">л </w:t>
      </w:r>
      <w:r>
        <w:rPr>
          <w:rStyle w:val="CharStyle10"/>
          <w:lang w:val="en-US" w:eastAsia="en-US"/>
        </w:rPr>
        <w:t xml:space="preserve">(12 </w:t>
      </w:r>
      <w:r>
        <w:rPr>
          <w:rStyle w:val="CharStyle10"/>
        </w:rPr>
        <w:t>миллилитров), в связи с чем представитель Заказчика, полагает, что у комиссии по осуществлению закупок имелись основания для признания заявки Заявителя несоответствующей.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Изучив представленные документы и сведения, а также заслушав пояснения представителя Заказчика, Комиссия Управления считает необходимым отметить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ч.1 ст.38 Федерального закона от </w:t>
      </w:r>
      <w:r>
        <w:rPr>
          <w:rStyle w:val="CharStyle10"/>
          <w:lang w:val="en-US" w:eastAsia="en-US"/>
        </w:rPr>
        <w:t xml:space="preserve">21.11.2011 № </w:t>
      </w:r>
      <w:r>
        <w:rPr>
          <w:rStyle w:val="CharStyle10"/>
        </w:rPr>
        <w:t xml:space="preserve">323-ФЗ «Об основах охраны здоровья граждан в Российской Федерации» (далее </w:t>
      </w:r>
      <w:r>
        <w:rPr>
          <w:rStyle w:val="CharStyle10"/>
          <w:lang w:val="en-US" w:eastAsia="en-US"/>
        </w:rPr>
        <w:t xml:space="preserve">— </w:t>
      </w:r>
      <w:r>
        <w:rPr>
          <w:rStyle w:val="CharStyle10"/>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w:t>
      </w:r>
    </w:p>
    <w:p>
      <w:pPr>
        <w:pStyle w:val="Style9"/>
        <w:keepNext w:val="0"/>
        <w:keepLines w:val="0"/>
        <w:widowControl w:val="0"/>
        <w:shd w:val="clear" w:color="auto" w:fill="auto"/>
        <w:bidi w:val="0"/>
        <w:spacing w:before="0" w:after="0" w:line="240" w:lineRule="auto"/>
        <w:ind w:left="0" w:right="0" w:firstLine="0"/>
        <w:jc w:val="both"/>
      </w:pPr>
      <w:r>
        <w:rPr>
          <w:rStyle w:val="CharStyle10"/>
        </w:rPr>
        <w:t>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ч.3 ст.38 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ч.4 ст.38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30.11.2024 №1684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Правила).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w:t>
      </w:r>
    </w:p>
    <w:p>
      <w:pPr>
        <w:pStyle w:val="Style9"/>
        <w:keepNext w:val="0"/>
        <w:keepLines w:val="0"/>
        <w:widowControl w:val="0"/>
        <w:shd w:val="clear" w:color="auto" w:fill="auto"/>
        <w:bidi w:val="0"/>
        <w:spacing w:before="0" w:after="0" w:line="240" w:lineRule="auto"/>
        <w:ind w:left="0" w:right="0" w:firstLine="0"/>
        <w:jc w:val="both"/>
      </w:pPr>
      <w:r>
        <w:rPr>
          <w:rStyle w:val="CharStyle10"/>
        </w:rPr>
        <w:t>воздействия на организм человека.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0"/>
          <w:lang w:val="en-US" w:eastAsia="en-US"/>
        </w:rPr>
        <w:t xml:space="preserve">- </w:t>
      </w:r>
      <w:r>
        <w:rPr>
          <w:rStyle w:val="CharStyle10"/>
        </w:rPr>
        <w:t>реестровая запись).</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этим п.2 Постановления </w:t>
      </w:r>
      <w:r>
        <w:rPr>
          <w:rStyle w:val="CharStyle10"/>
          <w:lang w:val="en-US" w:eastAsia="en-US"/>
        </w:rPr>
        <w:t xml:space="preserve">№1684 </w:t>
      </w:r>
      <w:r>
        <w:rPr>
          <w:rStyle w:val="CharStyle10"/>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0"/>
          <w:lang w:val="en-US" w:eastAsia="en-US"/>
        </w:rPr>
        <w:t xml:space="preserve">№1684, </w:t>
      </w:r>
      <w:r>
        <w:rPr>
          <w:rStyle w:val="CharStyle10"/>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27.12.2012 № 1416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 xml:space="preserve">Правила от </w:t>
      </w:r>
      <w:r>
        <w:rPr>
          <w:rStyle w:val="CharStyle10"/>
          <w:lang w:val="en-US" w:eastAsia="en-US"/>
        </w:rPr>
        <w:t xml:space="preserve">27.12.2012), </w:t>
      </w:r>
      <w:r>
        <w:rPr>
          <w:rStyle w:val="CharStyle10"/>
        </w:rPr>
        <w:t xml:space="preserve">действующие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П.4 Правил от </w:t>
      </w:r>
      <w:r>
        <w:rPr>
          <w:rStyle w:val="CharStyle10"/>
          <w:lang w:val="en-US" w:eastAsia="en-US"/>
        </w:rPr>
        <w:t xml:space="preserve">27.12.2012 </w:t>
      </w:r>
      <w:r>
        <w:rPr>
          <w:rStyle w:val="CharStyle10"/>
        </w:rPr>
        <w:t xml:space="preserve">в том числе определено, что эксплуатационная документация производителя (изготовителя) </w:t>
      </w:r>
      <w:r>
        <w:rPr>
          <w:rStyle w:val="CharStyle10"/>
          <w:lang w:val="en-US" w:eastAsia="en-US"/>
        </w:rPr>
        <w:t xml:space="preserve">— </w:t>
      </w:r>
      <w:r>
        <w:rPr>
          <w:rStyle w:val="CharStyle10"/>
        </w:rPr>
        <w:t>это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П.5 Правил от </w:t>
      </w:r>
      <w:r>
        <w:rPr>
          <w:rStyle w:val="CharStyle10"/>
          <w:lang w:val="en-US" w:eastAsia="en-US"/>
        </w:rPr>
        <w:t xml:space="preserve">27.12.2012 </w:t>
      </w:r>
      <w:r>
        <w:rPr>
          <w:rStyle w:val="CharStyle10"/>
        </w:rPr>
        <w:t>в том числе определено, что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П.6 Правил от </w:t>
      </w:r>
      <w:r>
        <w:rPr>
          <w:rStyle w:val="CharStyle10"/>
          <w:lang w:val="en-US" w:eastAsia="en-US"/>
        </w:rPr>
        <w:t xml:space="preserve">27.12.2012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этим пп.«а» п.23 Правил от </w:t>
      </w:r>
      <w:r>
        <w:rPr>
          <w:rStyle w:val="CharStyle10"/>
          <w:lang w:val="en-US" w:eastAsia="en-US"/>
        </w:rPr>
        <w:t xml:space="preserve">27.12.2012 </w:t>
      </w:r>
      <w:r>
        <w:rPr>
          <w:rStyle w:val="CharStyle10"/>
        </w:rPr>
        <w:t>установлено, что основанием для вынесения экспертным учреждением заключения о невозможности проведения клинических испытаний медицинского изделия или невозможности государственной регистрации медицинского изделия является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Как следует из пп. «а» п. </w:t>
      </w:r>
      <w:r>
        <w:rPr>
          <w:rStyle w:val="CharStyle10"/>
          <w:lang w:val="en-US" w:eastAsia="en-US"/>
        </w:rPr>
        <w:t xml:space="preserve">54 </w:t>
      </w:r>
      <w:r>
        <w:rPr>
          <w:rStyle w:val="CharStyle10"/>
        </w:rPr>
        <w:t xml:space="preserve">Правил от </w:t>
      </w:r>
      <w:r>
        <w:rPr>
          <w:rStyle w:val="CharStyle10"/>
          <w:lang w:val="en-US" w:eastAsia="en-US"/>
        </w:rPr>
        <w:t xml:space="preserve">27.12.2012 </w:t>
      </w:r>
      <w:r>
        <w:rPr>
          <w:rStyle w:val="CharStyle10"/>
        </w:rPr>
        <w:t>регистрирующий орган формирует регистрационное досье, которое включает в себя документы, предусмотренные п.10 Правил.</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9"/>
        <w:keepNext w:val="0"/>
        <w:keepLines w:val="0"/>
        <w:widowControl w:val="0"/>
        <w:numPr>
          <w:ilvl w:val="0"/>
          <w:numId w:val="3"/>
        </w:numPr>
        <w:shd w:val="clear" w:color="auto" w:fill="auto"/>
        <w:tabs>
          <w:tab w:pos="1124" w:val="left"/>
        </w:tabs>
        <w:bidi w:val="0"/>
        <w:spacing w:before="0" w:after="0" w:line="240" w:lineRule="auto"/>
        <w:ind w:left="0" w:right="0" w:firstLine="700"/>
        <w:jc w:val="both"/>
      </w:pPr>
      <w:r>
        <w:rPr>
          <w:rStyle w:val="CharStyle10"/>
        </w:rPr>
        <w:t>наименование медицинского изделия;</w:t>
      </w:r>
    </w:p>
    <w:p>
      <w:pPr>
        <w:pStyle w:val="Style9"/>
        <w:keepNext w:val="0"/>
        <w:keepLines w:val="0"/>
        <w:widowControl w:val="0"/>
        <w:numPr>
          <w:ilvl w:val="0"/>
          <w:numId w:val="3"/>
        </w:numPr>
        <w:shd w:val="clear" w:color="auto" w:fill="auto"/>
        <w:tabs>
          <w:tab w:pos="1120" w:val="left"/>
        </w:tabs>
        <w:bidi w:val="0"/>
        <w:spacing w:before="0" w:after="0" w:line="240" w:lineRule="auto"/>
        <w:ind w:left="0" w:right="0" w:firstLine="700"/>
        <w:jc w:val="both"/>
      </w:pPr>
      <w:r>
        <w:rPr>
          <w:rStyle w:val="CharStyle10"/>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3"/>
        </w:numPr>
        <w:shd w:val="clear" w:color="auto" w:fill="auto"/>
        <w:tabs>
          <w:tab w:pos="1128" w:val="left"/>
        </w:tabs>
        <w:bidi w:val="0"/>
        <w:spacing w:before="0" w:after="0" w:line="240" w:lineRule="auto"/>
        <w:ind w:left="0" w:right="0" w:firstLine="700"/>
        <w:jc w:val="both"/>
      </w:pPr>
      <w:r>
        <w:rPr>
          <w:rStyle w:val="CharStyle10"/>
        </w:rPr>
        <w:t>назначение медицинского изделия, установленное производителем;</w:t>
      </w:r>
    </w:p>
    <w:p>
      <w:pPr>
        <w:pStyle w:val="Style9"/>
        <w:keepNext w:val="0"/>
        <w:keepLines w:val="0"/>
        <w:widowControl w:val="0"/>
        <w:numPr>
          <w:ilvl w:val="0"/>
          <w:numId w:val="3"/>
        </w:numPr>
        <w:shd w:val="clear" w:color="auto" w:fill="auto"/>
        <w:tabs>
          <w:tab w:pos="1133" w:val="left"/>
        </w:tabs>
        <w:bidi w:val="0"/>
        <w:spacing w:before="0" w:after="0" w:line="240" w:lineRule="auto"/>
        <w:ind w:left="0" w:right="0" w:firstLine="700"/>
        <w:jc w:val="both"/>
      </w:pPr>
      <w:r>
        <w:rPr>
          <w:rStyle w:val="CharStyle10"/>
        </w:rPr>
        <w:t>вид медицинского изделия;</w:t>
      </w:r>
    </w:p>
    <w:p>
      <w:pPr>
        <w:pStyle w:val="Style9"/>
        <w:keepNext w:val="0"/>
        <w:keepLines w:val="0"/>
        <w:widowControl w:val="0"/>
        <w:numPr>
          <w:ilvl w:val="0"/>
          <w:numId w:val="3"/>
        </w:numPr>
        <w:shd w:val="clear" w:color="auto" w:fill="auto"/>
        <w:tabs>
          <w:tab w:pos="1138" w:val="left"/>
        </w:tabs>
        <w:bidi w:val="0"/>
        <w:spacing w:before="0" w:after="0" w:line="240" w:lineRule="auto"/>
        <w:ind w:left="0" w:right="0" w:firstLine="700"/>
        <w:jc w:val="both"/>
      </w:pPr>
      <w:r>
        <w:rPr>
          <w:rStyle w:val="CharStyle10"/>
        </w:rPr>
        <w:t>класс потенциального риска применения медицинского изделия;</w:t>
      </w:r>
    </w:p>
    <w:p>
      <w:pPr>
        <w:pStyle w:val="Style9"/>
        <w:keepNext w:val="0"/>
        <w:keepLines w:val="0"/>
        <w:widowControl w:val="0"/>
        <w:numPr>
          <w:ilvl w:val="0"/>
          <w:numId w:val="3"/>
        </w:numPr>
        <w:shd w:val="clear" w:color="auto" w:fill="auto"/>
        <w:tabs>
          <w:tab w:pos="1115" w:val="left"/>
        </w:tabs>
        <w:bidi w:val="0"/>
        <w:spacing w:before="0" w:after="0" w:line="240" w:lineRule="auto"/>
        <w:ind w:left="0" w:right="0" w:firstLine="700"/>
        <w:jc w:val="both"/>
      </w:pPr>
      <w:r>
        <w:rPr>
          <w:rStyle w:val="CharStyle10"/>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3"/>
        </w:numPr>
        <w:shd w:val="clear" w:color="auto" w:fill="auto"/>
        <w:tabs>
          <w:tab w:pos="1110" w:val="left"/>
        </w:tabs>
        <w:bidi w:val="0"/>
        <w:spacing w:before="0" w:after="0" w:line="240" w:lineRule="auto"/>
        <w:ind w:left="0" w:right="0" w:firstLine="700"/>
        <w:jc w:val="both"/>
      </w:pPr>
      <w:r>
        <w:rPr>
          <w:rStyle w:val="CharStyle10"/>
        </w:rPr>
        <w:t xml:space="preserve">наименование и место нахождения юридического лица </w:t>
      </w:r>
      <w:r>
        <w:rPr>
          <w:rStyle w:val="CharStyle10"/>
          <w:lang w:val="en-US" w:eastAsia="en-US"/>
        </w:rPr>
        <w:t xml:space="preserve">- </w:t>
      </w:r>
      <w:r>
        <w:rPr>
          <w:rStyle w:val="CharStyle10"/>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уполномоченного представителя производителя (изготовителя) медицинского изделия;</w:t>
      </w:r>
    </w:p>
    <w:p>
      <w:pPr>
        <w:pStyle w:val="Style9"/>
        <w:keepNext w:val="0"/>
        <w:keepLines w:val="0"/>
        <w:widowControl w:val="0"/>
        <w:numPr>
          <w:ilvl w:val="0"/>
          <w:numId w:val="3"/>
        </w:numPr>
        <w:shd w:val="clear" w:color="auto" w:fill="auto"/>
        <w:tabs>
          <w:tab w:pos="1115" w:val="left"/>
        </w:tabs>
        <w:bidi w:val="0"/>
        <w:spacing w:before="0" w:after="0" w:line="240" w:lineRule="auto"/>
        <w:ind w:left="0" w:right="0" w:firstLine="700"/>
        <w:jc w:val="both"/>
      </w:pPr>
      <w:r>
        <w:rPr>
          <w:rStyle w:val="CharStyle10"/>
        </w:rPr>
        <w:t xml:space="preserve">наименование и место нахождения организации </w:t>
      </w:r>
      <w:r>
        <w:rPr>
          <w:rStyle w:val="CharStyle10"/>
          <w:lang w:val="en-US" w:eastAsia="en-US"/>
        </w:rPr>
        <w:t xml:space="preserve">- </w:t>
      </w:r>
      <w:r>
        <w:rPr>
          <w:rStyle w:val="CharStyle10"/>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производителя (изготовителя) медицинского изделия;</w:t>
      </w:r>
    </w:p>
    <w:p>
      <w:pPr>
        <w:pStyle w:val="Style9"/>
        <w:keepNext w:val="0"/>
        <w:keepLines w:val="0"/>
        <w:widowControl w:val="0"/>
        <w:numPr>
          <w:ilvl w:val="0"/>
          <w:numId w:val="3"/>
        </w:numPr>
        <w:shd w:val="clear" w:color="auto" w:fill="auto"/>
        <w:tabs>
          <w:tab w:pos="1124" w:val="left"/>
        </w:tabs>
        <w:bidi w:val="0"/>
        <w:spacing w:before="0" w:after="0" w:line="240" w:lineRule="auto"/>
        <w:ind w:left="0" w:right="0" w:firstLine="700"/>
        <w:jc w:val="both"/>
      </w:pPr>
      <w:r>
        <w:rPr>
          <w:rStyle w:val="CharStyle10"/>
        </w:rPr>
        <w:t>адрес места производства или изготовления медицинского изделия;</w:t>
      </w:r>
    </w:p>
    <w:p>
      <w:pPr>
        <w:pStyle w:val="Style9"/>
        <w:keepNext w:val="0"/>
        <w:keepLines w:val="0"/>
        <w:widowControl w:val="0"/>
        <w:numPr>
          <w:ilvl w:val="0"/>
          <w:numId w:val="3"/>
        </w:numPr>
        <w:shd w:val="clear" w:color="auto" w:fill="auto"/>
        <w:tabs>
          <w:tab w:pos="1268" w:val="left"/>
        </w:tabs>
        <w:bidi w:val="0"/>
        <w:spacing w:before="0" w:after="0" w:line="240" w:lineRule="auto"/>
        <w:ind w:left="0" w:right="0" w:firstLine="700"/>
        <w:jc w:val="both"/>
      </w:pPr>
      <w:r>
        <w:rPr>
          <w:rStyle w:val="CharStyle10"/>
        </w:rPr>
        <w:t>сведения о взаимозаменяемых медицинских изделиях;</w:t>
      </w:r>
    </w:p>
    <w:p>
      <w:pPr>
        <w:pStyle w:val="Style9"/>
        <w:keepNext w:val="0"/>
        <w:keepLines w:val="0"/>
        <w:widowControl w:val="0"/>
        <w:numPr>
          <w:ilvl w:val="0"/>
          <w:numId w:val="3"/>
        </w:numPr>
        <w:shd w:val="clear" w:color="auto" w:fill="auto"/>
        <w:tabs>
          <w:tab w:pos="1258" w:val="left"/>
        </w:tabs>
        <w:bidi w:val="0"/>
        <w:spacing w:before="0" w:after="0" w:line="240" w:lineRule="auto"/>
        <w:ind w:left="0" w:right="0" w:firstLine="700"/>
        <w:jc w:val="both"/>
      </w:pPr>
      <w:r>
        <w:rPr>
          <w:rStyle w:val="CharStyle10"/>
        </w:rPr>
        <w:t>иные сведения, определяемые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462" w:right="527" w:bottom="648" w:left="1082" w:header="0" w:footer="3" w:gutter="0"/>
          <w:cols w:space="720"/>
          <w:noEndnote/>
          <w:rtlGutter w:val="0"/>
          <w:docGrid w:linePitch="360"/>
        </w:sectPr>
      </w:pPr>
      <w:r>
        <w:rPr>
          <w:rStyle w:val="CharStyle10"/>
        </w:rPr>
        <w:t xml:space="preserve">Согласно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w:t>
      </w:r>
      <w:r>
        <w:rPr>
          <w:rStyle w:val="CharStyle10"/>
          <w:lang w:val="en-US" w:eastAsia="en-US"/>
        </w:rPr>
        <w:t xml:space="preserve">30.09.2021 №1650 </w:t>
      </w:r>
      <w:r>
        <w:rPr>
          <w:rStyle w:val="CharStyle10"/>
        </w:rPr>
        <w: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ч.1, </w:t>
      </w:r>
      <w:r>
        <w:rPr>
          <w:rStyle w:val="CharStyle10"/>
          <w:lang w:val="en-US" w:eastAsia="en-US"/>
        </w:rPr>
        <w:t xml:space="preserve">2 </w:t>
      </w:r>
      <w:r>
        <w:rPr>
          <w:rStyle w:val="CharStyle10"/>
        </w:rPr>
        <w:t xml:space="preserve">и </w:t>
      </w:r>
      <w:r>
        <w:rPr>
          <w:rStyle w:val="CharStyle10"/>
          <w:lang w:val="en-US" w:eastAsia="en-US"/>
        </w:rPr>
        <w:t xml:space="preserve">3 </w:t>
      </w:r>
      <w:r>
        <w:rPr>
          <w:rStyle w:val="CharStyle10"/>
        </w:rPr>
        <w:t xml:space="preserve">ст.15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0"/>
          <w:lang w:val="en-US" w:eastAsia="en-US"/>
        </w:rPr>
        <w:t xml:space="preserve">— </w:t>
      </w:r>
      <w:r>
        <w:rPr>
          <w:rStyle w:val="CharStyle10"/>
        </w:rPr>
        <w:t>Правила ведения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изложенного Комиссия Управления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 следовательно, зарегистрированные медицинские изделия, в полной мере соответствуют, в том числе эксплуатационной документации производителя (изготовителя).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при рассмотрении заявок участников закупки комиссия по осуществлению закупок должна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принятии решения Комиссия Управления исходит из того, что в инструкции по применению медицинского изделия регистрационного удостоверения №РЗН </w:t>
      </w:r>
      <w:r>
        <w:rPr>
          <w:rStyle w:val="CharStyle10"/>
          <w:lang w:val="en-US" w:eastAsia="en-US"/>
        </w:rPr>
        <w:t xml:space="preserve">2024/23447, </w:t>
      </w:r>
      <w:r>
        <w:rPr>
          <w:rStyle w:val="CharStyle10"/>
        </w:rPr>
        <w:t xml:space="preserve">размещенной на сайте реестра медицинских изделий Росздравнадзора, отражено, что номинальный объем реагента для подсчета лейкоцитов ДМ-68ФД ДАИ для анализаторов автоматических гематологических по ТУ </w:t>
      </w:r>
      <w:r>
        <w:rPr>
          <w:rStyle w:val="CharStyle10"/>
          <w:lang w:val="en-US" w:eastAsia="en-US"/>
        </w:rPr>
        <w:t xml:space="preserve">20.59.52-003-66418557-2021 </w:t>
      </w:r>
      <w:r>
        <w:rPr>
          <w:rStyle w:val="CharStyle10"/>
        </w:rPr>
        <w:t xml:space="preserve">составляет </w:t>
      </w:r>
      <w:r>
        <w:rPr>
          <w:rStyle w:val="CharStyle10"/>
          <w:lang w:val="en-US" w:eastAsia="en-US"/>
        </w:rPr>
        <w:t xml:space="preserve">«0,012±0,0001», </w:t>
      </w:r>
      <w:r>
        <w:rPr>
          <w:rStyle w:val="CharStyle10"/>
        </w:rPr>
        <w:t>что не соответствует требованию описания объекта закупки и заявленному значению в составе заявки.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связи с чем Комиссия Управления приходит к выводу о наличии недостоверной информации об объеме реагента в составе заявки Заявителя по рассматриваемым обстоятельствам.</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9"/>
        <w:keepNext w:val="0"/>
        <w:keepLines w:val="0"/>
        <w:widowControl w:val="0"/>
        <w:numPr>
          <w:ilvl w:val="0"/>
          <w:numId w:val="5"/>
        </w:numPr>
        <w:shd w:val="clear" w:color="auto" w:fill="auto"/>
        <w:tabs>
          <w:tab w:pos="1066" w:val="left"/>
        </w:tabs>
        <w:bidi w:val="0"/>
        <w:spacing w:before="0" w:after="0" w:line="240" w:lineRule="auto"/>
        <w:ind w:left="0" w:right="0" w:firstLine="700"/>
        <w:jc w:val="both"/>
      </w:pPr>
      <w:r>
        <w:rPr>
          <w:rStyle w:val="CharStyle10"/>
        </w:rPr>
        <w:t>члены комиссии по осуществлению закупок:</w:t>
      </w:r>
    </w:p>
    <w:p>
      <w:pPr>
        <w:pStyle w:val="Style9"/>
        <w:keepNext w:val="0"/>
        <w:keepLines w:val="0"/>
        <w:widowControl w:val="0"/>
        <w:numPr>
          <w:ilvl w:val="0"/>
          <w:numId w:val="7"/>
        </w:numPr>
        <w:shd w:val="clear" w:color="auto" w:fill="auto"/>
        <w:tabs>
          <w:tab w:pos="1042" w:val="left"/>
        </w:tabs>
        <w:bidi w:val="0"/>
        <w:spacing w:before="0" w:after="0" w:line="240" w:lineRule="auto"/>
        <w:ind w:left="0" w:right="0" w:firstLine="700"/>
        <w:jc w:val="both"/>
      </w:pPr>
      <w:r>
        <w:rPr>
          <w:rStyle w:val="CharStyle10"/>
        </w:rPr>
        <w:t xml:space="preserve">рассматривают заявки на участие в закупке, информацию и документы, направленные оператором электронной площадки в соответствии с ч. </w:t>
      </w:r>
      <w:r>
        <w:rPr>
          <w:rStyle w:val="CharStyle10"/>
          <w:lang w:val="en-US" w:eastAsia="en-US"/>
        </w:rPr>
        <w:t xml:space="preserve">2 </w:t>
      </w:r>
      <w:r>
        <w:rPr>
          <w:rStyle w:val="CharStyle10"/>
        </w:rPr>
        <w:t xml:space="preserve">ч.3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w:t>
      </w:r>
      <w:r>
        <w:rPr>
          <w:rStyle w:val="CharStyle10"/>
          <w:lang w:val="en-US" w:eastAsia="en-US"/>
        </w:rPr>
        <w:t xml:space="preserve">1 - 8 </w:t>
      </w:r>
      <w:r>
        <w:rPr>
          <w:rStyle w:val="CharStyle10"/>
        </w:rPr>
        <w:t xml:space="preserve">ч. </w:t>
      </w:r>
      <w:r>
        <w:rPr>
          <w:rStyle w:val="CharStyle10"/>
          <w:lang w:val="en-US" w:eastAsia="en-US"/>
        </w:rPr>
        <w:t xml:space="preserve">12 </w:t>
      </w:r>
      <w:r>
        <w:rPr>
          <w:rStyle w:val="CharStyle10"/>
        </w:rPr>
        <w:t>ст.48Закона о контрактной системе;</w:t>
      </w:r>
    </w:p>
    <w:p>
      <w:pPr>
        <w:pStyle w:val="Style9"/>
        <w:keepNext w:val="0"/>
        <w:keepLines w:val="0"/>
        <w:widowControl w:val="0"/>
        <w:numPr>
          <w:ilvl w:val="0"/>
          <w:numId w:val="7"/>
        </w:numPr>
        <w:shd w:val="clear" w:color="auto" w:fill="auto"/>
        <w:tabs>
          <w:tab w:pos="1062" w:val="left"/>
        </w:tabs>
        <w:bidi w:val="0"/>
        <w:spacing w:before="0" w:after="0" w:line="266"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716" w:right="541" w:bottom="342" w:left="1101" w:header="0" w:footer="3" w:gutter="0"/>
          <w:cols w:space="720"/>
          <w:noEndnote/>
          <w:rtlGutter w:val="0"/>
          <w:docGrid w:linePitch="360"/>
        </w:sectPr>
      </w:pPr>
      <w:r>
        <w:rPr>
          <w:rStyle w:val="CharStyle10"/>
        </w:rPr>
        <w:t xml:space="preserve">на основании решения, предусмотренного пп. «а» п.1 ч.3 ст.50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w:t>
      </w:r>
      <w:r>
        <w:rPr>
          <w:rStyle w:val="CharStyle10"/>
          <w:lang w:val="en-US" w:eastAsia="en-US"/>
        </w:rPr>
        <w:t xml:space="preserve">24 </w:t>
      </w:r>
      <w:r>
        <w:rPr>
          <w:rStyle w:val="CharStyle10"/>
        </w:rPr>
        <w:t xml:space="preserve">ст. </w:t>
      </w:r>
      <w:r>
        <w:rPr>
          <w:rStyle w:val="CharStyle10"/>
          <w:lang w:val="en-US" w:eastAsia="en-US"/>
        </w:rPr>
        <w:t xml:space="preserve">22 </w:t>
      </w:r>
      <w:r>
        <w:rPr>
          <w:rStyle w:val="CharStyle10"/>
        </w:rPr>
        <w:t xml:space="preserve">Закона о контрактной системе), предложенных участником закупки, подавшим такую заявку, с учетом положений нормативных </w:t>
      </w:r>
      <w:r>
        <w:rPr>
          <w:rStyle w:val="CharStyle10"/>
          <w:sz w:val="24"/>
          <w:szCs w:val="24"/>
          <w:lang w:val="en-US" w:eastAsia="en-US"/>
        </w:rPr>
        <w:t>2026-24672</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правовых актов, принятых в соответствии со ст. </w:t>
      </w:r>
      <w:r>
        <w:rPr>
          <w:rStyle w:val="CharStyle10"/>
          <w:lang w:val="en-US" w:eastAsia="en-US"/>
        </w:rPr>
        <w:t xml:space="preserve">14 </w:t>
      </w:r>
      <w:r>
        <w:rPr>
          <w:rStyle w:val="CharStyle10"/>
        </w:rPr>
        <w:t xml:space="preserve">Закона о контрактной системе </w:t>
      </w:r>
      <w:r>
        <w:rPr>
          <w:rStyle w:val="CharStyle10"/>
          <w:lang w:val="en-US" w:eastAsia="en-US"/>
        </w:rPr>
        <w:t xml:space="preserve">. </w:t>
      </w:r>
      <w:r>
        <w:rPr>
          <w:rStyle w:val="CharStyle10"/>
        </w:rPr>
        <w:t xml:space="preserve">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п.3 или </w:t>
      </w:r>
      <w:r>
        <w:rPr>
          <w:rStyle w:val="CharStyle10"/>
          <w:lang w:val="en-US" w:eastAsia="en-US"/>
        </w:rPr>
        <w:t xml:space="preserve">4 </w:t>
      </w:r>
      <w:r>
        <w:rPr>
          <w:rStyle w:val="CharStyle10"/>
        </w:rPr>
        <w:t xml:space="preserve">ч. </w:t>
      </w:r>
      <w:r>
        <w:rPr>
          <w:rStyle w:val="CharStyle10"/>
          <w:lang w:val="en-US" w:eastAsia="en-US"/>
        </w:rPr>
        <w:t xml:space="preserve">1 </w:t>
      </w:r>
      <w:r>
        <w:rPr>
          <w:rStyle w:val="CharStyle10"/>
        </w:rPr>
        <w:t xml:space="preserve">ст. </w:t>
      </w:r>
      <w:r>
        <w:rPr>
          <w:rStyle w:val="CharStyle10"/>
          <w:lang w:val="en-US" w:eastAsia="en-US"/>
        </w:rPr>
        <w:t xml:space="preserve">43 </w:t>
      </w:r>
      <w:r>
        <w:rPr>
          <w:rStyle w:val="CharStyle10"/>
        </w:rPr>
        <w:t>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00"/>
        <w:jc w:val="both"/>
      </w:pPr>
      <w:r>
        <w:rPr>
          <w:rStyle w:val="CharStyle10"/>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w:t>
      </w:r>
      <w:r>
        <w:rPr>
          <w:rStyle w:val="CharStyle10"/>
          <w:lang w:val="en-US" w:eastAsia="en-US"/>
        </w:rPr>
        <w:t xml:space="preserve">1, 2, 4 - 7 </w:t>
      </w:r>
      <w:r>
        <w:rPr>
          <w:rStyle w:val="CharStyle10"/>
        </w:rPr>
        <w:t xml:space="preserve">ч.17 ст. </w:t>
      </w:r>
      <w:r>
        <w:rPr>
          <w:rStyle w:val="CharStyle10"/>
          <w:lang w:val="en-US" w:eastAsia="en-US"/>
        </w:rPr>
        <w:t xml:space="preserve">48 </w:t>
      </w:r>
      <w:r>
        <w:rPr>
          <w:rStyle w:val="CharStyle10"/>
        </w:rPr>
        <w:t>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10"/>
          <w:lang w:val="en-US" w:eastAsia="en-US"/>
        </w:rPr>
        <w:t xml:space="preserve">2 </w:t>
      </w:r>
      <w:r>
        <w:rPr>
          <w:rStyle w:val="CharStyle10"/>
        </w:rPr>
        <w:t xml:space="preserve">и </w:t>
      </w:r>
      <w:r>
        <w:rPr>
          <w:rStyle w:val="CharStyle10"/>
          <w:lang w:val="en-US" w:eastAsia="en-US"/>
        </w:rPr>
        <w:t xml:space="preserve">3 </w:t>
      </w: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непредставления информации и документов, предусмотренных п. </w:t>
      </w:r>
      <w:r>
        <w:rPr>
          <w:rStyle w:val="CharStyle10"/>
          <w:lang w:val="en-US" w:eastAsia="en-US"/>
        </w:rPr>
        <w:t xml:space="preserve">2 </w:t>
      </w:r>
      <w:r>
        <w:rPr>
          <w:rStyle w:val="CharStyle10"/>
        </w:rPr>
        <w:t xml:space="preserve">и </w:t>
      </w:r>
      <w:r>
        <w:rPr>
          <w:rStyle w:val="CharStyle10"/>
          <w:lang w:val="en-US" w:eastAsia="en-US"/>
        </w:rPr>
        <w:t xml:space="preserve">3 </w:t>
      </w: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несоответствия участника закупки требованиям, установленным в извещении об осуществлении закупки в соответствии с ч. </w:t>
      </w:r>
      <w:r>
        <w:rPr>
          <w:rStyle w:val="CharStyle10"/>
          <w:lang w:val="en-US" w:eastAsia="en-US"/>
        </w:rPr>
        <w:t xml:space="preserve">1 </w:t>
      </w:r>
      <w:r>
        <w:rPr>
          <w:rStyle w:val="CharStyle10"/>
        </w:rPr>
        <w:t xml:space="preserve">ст. </w:t>
      </w:r>
      <w:r>
        <w:rPr>
          <w:rStyle w:val="CharStyle10"/>
          <w:lang w:val="en-US" w:eastAsia="en-US"/>
        </w:rPr>
        <w:t xml:space="preserve">31 </w:t>
      </w:r>
      <w:r>
        <w:rPr>
          <w:rStyle w:val="CharStyle10"/>
        </w:rPr>
        <w:t xml:space="preserve">Закона о контрактной системе, требованиям, установленным в извещении об осуществлении закупки в соответствии с ч. </w:t>
      </w:r>
      <w:r>
        <w:rPr>
          <w:rStyle w:val="CharStyle10"/>
          <w:lang w:val="en-US" w:eastAsia="en-US"/>
        </w:rPr>
        <w:t xml:space="preserve">1.1, 2 </w:t>
      </w:r>
      <w:r>
        <w:rPr>
          <w:rStyle w:val="CharStyle10"/>
        </w:rPr>
        <w:t xml:space="preserve">и </w:t>
      </w:r>
      <w:r>
        <w:rPr>
          <w:rStyle w:val="CharStyle10"/>
          <w:lang w:val="en-US" w:eastAsia="en-US"/>
        </w:rPr>
        <w:t xml:space="preserve">2.1 </w:t>
      </w:r>
      <w:r>
        <w:rPr>
          <w:rStyle w:val="CharStyle10"/>
        </w:rPr>
        <w:t xml:space="preserve">(при наличии таких требований) ст. </w:t>
      </w:r>
      <w:r>
        <w:rPr>
          <w:rStyle w:val="CharStyle10"/>
          <w:lang w:val="en-US" w:eastAsia="en-US"/>
        </w:rPr>
        <w:t xml:space="preserve">31 </w:t>
      </w:r>
      <w:r>
        <w:rPr>
          <w:rStyle w:val="CharStyle10"/>
        </w:rPr>
        <w:t>Закона о контрактной системе;</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предусмотренных пп. «а» п. </w:t>
      </w:r>
      <w:r>
        <w:rPr>
          <w:rStyle w:val="CharStyle10"/>
          <w:lang w:val="en-US" w:eastAsia="en-US"/>
        </w:rPr>
        <w:t xml:space="preserve">1 </w:t>
      </w:r>
      <w:r>
        <w:rPr>
          <w:rStyle w:val="CharStyle10"/>
        </w:rPr>
        <w:t xml:space="preserve">(за исключением случая, предусмотренного п.5 ч.12 ст.48 Закона о контрактной системе), пп. «а» п. </w:t>
      </w:r>
      <w:r>
        <w:rPr>
          <w:rStyle w:val="CharStyle10"/>
          <w:lang w:val="en-US" w:eastAsia="en-US"/>
        </w:rPr>
        <w:t xml:space="preserve">2 </w:t>
      </w:r>
      <w:r>
        <w:rPr>
          <w:rStyle w:val="CharStyle10"/>
        </w:rPr>
        <w:t xml:space="preserve">ч. </w:t>
      </w:r>
      <w:r>
        <w:rPr>
          <w:rStyle w:val="CharStyle10"/>
          <w:lang w:val="en-US" w:eastAsia="en-US"/>
        </w:rPr>
        <w:t xml:space="preserve">4, </w:t>
      </w:r>
      <w:r>
        <w:rPr>
          <w:rStyle w:val="CharStyle10"/>
        </w:rPr>
        <w:t xml:space="preserve">пп. «а» п. </w:t>
      </w:r>
      <w:r>
        <w:rPr>
          <w:rStyle w:val="CharStyle10"/>
          <w:lang w:val="en-US" w:eastAsia="en-US"/>
        </w:rPr>
        <w:t xml:space="preserve">1 </w:t>
      </w:r>
      <w:r>
        <w:rPr>
          <w:rStyle w:val="CharStyle10"/>
        </w:rPr>
        <w:t xml:space="preserve">(за исключением случая, предусмотренного п.5 ч.12 ст.48 Закона о контрактной системе), п. </w:t>
      </w:r>
      <w:r>
        <w:rPr>
          <w:rStyle w:val="CharStyle10"/>
          <w:lang w:val="en-US" w:eastAsia="en-US"/>
        </w:rPr>
        <w:t xml:space="preserve">2 </w:t>
      </w:r>
      <w:r>
        <w:rPr>
          <w:rStyle w:val="CharStyle10"/>
        </w:rPr>
        <w:t xml:space="preserve">ч. </w:t>
      </w:r>
      <w:r>
        <w:rPr>
          <w:rStyle w:val="CharStyle10"/>
          <w:lang w:val="en-US" w:eastAsia="en-US"/>
        </w:rPr>
        <w:t xml:space="preserve">5 </w:t>
      </w:r>
      <w:r>
        <w:rPr>
          <w:rStyle w:val="CharStyle10"/>
        </w:rPr>
        <w:t xml:space="preserve">ст.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непредставления информации и документов, предусмотренных п. </w:t>
      </w:r>
      <w:r>
        <w:rPr>
          <w:rStyle w:val="CharStyle10"/>
          <w:lang w:val="en-US" w:eastAsia="en-US"/>
        </w:rPr>
        <w:t xml:space="preserve">5 </w:t>
      </w:r>
      <w:r>
        <w:rPr>
          <w:rStyle w:val="CharStyle10"/>
        </w:rPr>
        <w:t xml:space="preserve">ч. </w:t>
      </w:r>
      <w:r>
        <w:rPr>
          <w:rStyle w:val="CharStyle10"/>
          <w:lang w:val="en-US" w:eastAsia="en-US"/>
        </w:rPr>
        <w:t xml:space="preserve">1 </w:t>
      </w:r>
      <w:r>
        <w:rPr>
          <w:rStyle w:val="CharStyle10"/>
        </w:rPr>
        <w:t xml:space="preserve">ст. </w:t>
      </w:r>
      <w:r>
        <w:rPr>
          <w:rStyle w:val="CharStyle10"/>
          <w:lang w:val="en-US" w:eastAsia="en-US"/>
        </w:rPr>
        <w:t xml:space="preserve">43 </w:t>
      </w:r>
      <w:r>
        <w:rPr>
          <w:rStyle w:val="CharStyle10"/>
        </w:rPr>
        <w:t xml:space="preserve">Закона о контрактной системе, если такие информация и документы определены в соответствии с п. </w:t>
      </w:r>
      <w:r>
        <w:rPr>
          <w:rStyle w:val="CharStyle10"/>
          <w:lang w:val="en-US" w:eastAsia="en-US"/>
        </w:rPr>
        <w:t xml:space="preserve">2 </w:t>
      </w:r>
      <w:r>
        <w:rPr>
          <w:rStyle w:val="CharStyle10"/>
        </w:rPr>
        <w:t xml:space="preserve">ч. </w:t>
      </w:r>
      <w:r>
        <w:rPr>
          <w:rStyle w:val="CharStyle10"/>
          <w:lang w:val="en-US" w:eastAsia="en-US"/>
        </w:rPr>
        <w:t xml:space="preserve">2 </w:t>
      </w:r>
      <w:r>
        <w:rPr>
          <w:rStyle w:val="CharStyle10"/>
        </w:rPr>
        <w:t xml:space="preserve">ст. </w:t>
      </w:r>
      <w:r>
        <w:rPr>
          <w:rStyle w:val="CharStyle10"/>
          <w:lang w:val="en-US" w:eastAsia="en-US"/>
        </w:rPr>
        <w:t xml:space="preserve">14 </w:t>
      </w:r>
      <w:r>
        <w:rPr>
          <w:rStyle w:val="CharStyle10"/>
        </w:rPr>
        <w:t xml:space="preserve">Закона о контрактной системе (в случае установления в соответствии с пп. «а» п. </w:t>
      </w:r>
      <w:r>
        <w:rPr>
          <w:rStyle w:val="CharStyle10"/>
          <w:lang w:val="en-US" w:eastAsia="en-US"/>
        </w:rPr>
        <w:t xml:space="preserve">1 </w:t>
      </w:r>
      <w:r>
        <w:rPr>
          <w:rStyle w:val="CharStyle10"/>
        </w:rPr>
        <w:t xml:space="preserve">ч. </w:t>
      </w:r>
      <w:r>
        <w:rPr>
          <w:rStyle w:val="CharStyle10"/>
          <w:lang w:val="en-US" w:eastAsia="en-US"/>
        </w:rPr>
        <w:t xml:space="preserve">2 </w:t>
      </w:r>
      <w:r>
        <w:rPr>
          <w:rStyle w:val="CharStyle10"/>
        </w:rPr>
        <w:t xml:space="preserve">ст. </w:t>
      </w:r>
      <w:r>
        <w:rPr>
          <w:rStyle w:val="CharStyle10"/>
          <w:lang w:val="en-US" w:eastAsia="en-US"/>
        </w:rPr>
        <w:t xml:space="preserve">14 </w:t>
      </w:r>
      <w:r>
        <w:rPr>
          <w:rStyle w:val="CharStyle10"/>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9"/>
        <w:keepNext w:val="0"/>
        <w:keepLines w:val="0"/>
        <w:widowControl w:val="0"/>
        <w:numPr>
          <w:ilvl w:val="0"/>
          <w:numId w:val="9"/>
        </w:numPr>
        <w:shd w:val="clear" w:color="auto" w:fill="auto"/>
        <w:tabs>
          <w:tab w:pos="1062" w:val="left"/>
        </w:tabs>
        <w:bidi w:val="0"/>
        <w:spacing w:before="0" w:after="0" w:line="240" w:lineRule="auto"/>
        <w:ind w:left="0" w:right="0" w:firstLine="700"/>
        <w:jc w:val="both"/>
      </w:pPr>
      <w:r>
        <w:rPr>
          <w:rStyle w:val="CharStyle10"/>
        </w:rPr>
        <w:t xml:space="preserve">выявления отнесения участника закупки к организациям, предусмотренным п. </w:t>
      </w:r>
      <w:r>
        <w:rPr>
          <w:rStyle w:val="CharStyle10"/>
          <w:lang w:val="en-US" w:eastAsia="en-US"/>
        </w:rPr>
        <w:t xml:space="preserve">4 </w:t>
      </w:r>
      <w:r>
        <w:rPr>
          <w:rStyle w:val="CharStyle10"/>
        </w:rPr>
        <w:t xml:space="preserve">ст. </w:t>
      </w:r>
      <w:r>
        <w:rPr>
          <w:rStyle w:val="CharStyle10"/>
          <w:lang w:val="en-US" w:eastAsia="en-US"/>
        </w:rPr>
        <w:t xml:space="preserve">2 </w:t>
      </w:r>
      <w:r>
        <w:rPr>
          <w:rStyle w:val="CharStyle10"/>
        </w:rPr>
        <w:t xml:space="preserve">Федерального закона от </w:t>
      </w:r>
      <w:r>
        <w:rPr>
          <w:rStyle w:val="CharStyle10"/>
          <w:lang w:val="en-US" w:eastAsia="en-US"/>
        </w:rPr>
        <w:t xml:space="preserve">4 </w:t>
      </w:r>
      <w:r>
        <w:rPr>
          <w:rStyle w:val="CharStyle10"/>
        </w:rPr>
        <w:t xml:space="preserve">июня </w:t>
      </w:r>
      <w:r>
        <w:rPr>
          <w:rStyle w:val="CharStyle10"/>
          <w:lang w:val="en-US" w:eastAsia="en-US"/>
        </w:rPr>
        <w:t xml:space="preserve">2018 </w:t>
      </w:r>
      <w:r>
        <w:rPr>
          <w:rStyle w:val="CharStyle10"/>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r>
        <w:br w:type="page"/>
      </w:r>
    </w:p>
    <w:p>
      <w:pPr>
        <w:pStyle w:val="Style9"/>
        <w:keepNext w:val="0"/>
        <w:keepLines w:val="0"/>
        <w:widowControl w:val="0"/>
        <w:numPr>
          <w:ilvl w:val="0"/>
          <w:numId w:val="9"/>
        </w:numPr>
        <w:shd w:val="clear" w:color="auto" w:fill="auto"/>
        <w:tabs>
          <w:tab w:pos="1781" w:val="left"/>
        </w:tabs>
        <w:bidi w:val="0"/>
        <w:spacing w:before="0" w:after="0" w:line="240" w:lineRule="auto"/>
        <w:ind w:left="0" w:right="0" w:firstLine="720"/>
        <w:jc w:val="both"/>
      </w:pPr>
      <w:r>
        <w:rPr>
          <w:rStyle w:val="CharStyle10"/>
        </w:rPr>
        <w:t xml:space="preserve">предусмотренных ч.6 ст. </w:t>
      </w:r>
      <w:r>
        <w:rPr>
          <w:rStyle w:val="CharStyle10"/>
          <w:lang w:val="en-US" w:eastAsia="en-US"/>
        </w:rPr>
        <w:t xml:space="preserve">45 </w:t>
      </w:r>
      <w:r>
        <w:rPr>
          <w:rStyle w:val="CharStyle10"/>
        </w:rPr>
        <w:t>Закона о контрактной системе;</w:t>
      </w:r>
    </w:p>
    <w:p>
      <w:pPr>
        <w:pStyle w:val="Style9"/>
        <w:keepNext w:val="0"/>
        <w:keepLines w:val="0"/>
        <w:widowControl w:val="0"/>
        <w:numPr>
          <w:ilvl w:val="0"/>
          <w:numId w:val="9"/>
        </w:numPr>
        <w:shd w:val="clear" w:color="auto" w:fill="auto"/>
        <w:tabs>
          <w:tab w:pos="1117" w:val="left"/>
        </w:tabs>
        <w:bidi w:val="0"/>
        <w:spacing w:before="0" w:after="0" w:line="240" w:lineRule="auto"/>
        <w:ind w:left="0" w:right="0" w:firstLine="720"/>
        <w:jc w:val="both"/>
      </w:pPr>
      <w:r>
        <w:rPr>
          <w:rStyle w:val="CharStyle10"/>
        </w:rPr>
        <w:t>выявления недостоверной информации, содержащейся в заявке на участие в закупке;</w:t>
      </w:r>
    </w:p>
    <w:p>
      <w:pPr>
        <w:pStyle w:val="Style9"/>
        <w:keepNext w:val="0"/>
        <w:keepLines w:val="0"/>
        <w:widowControl w:val="0"/>
        <w:numPr>
          <w:ilvl w:val="0"/>
          <w:numId w:val="9"/>
        </w:numPr>
        <w:shd w:val="clear" w:color="auto" w:fill="auto"/>
        <w:tabs>
          <w:tab w:pos="1112" w:val="left"/>
        </w:tabs>
        <w:bidi w:val="0"/>
        <w:spacing w:before="0" w:after="0" w:line="240" w:lineRule="auto"/>
        <w:ind w:left="0" w:right="0" w:firstLine="720"/>
        <w:jc w:val="both"/>
      </w:pPr>
      <w:r>
        <w:rPr>
          <w:rStyle w:val="CharStyle10"/>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9"/>
        <w:keepNext w:val="0"/>
        <w:keepLines w:val="0"/>
        <w:widowControl w:val="0"/>
        <w:shd w:val="clear" w:color="auto" w:fill="auto"/>
        <w:bidi w:val="0"/>
        <w:spacing w:before="0" w:after="220" w:line="240" w:lineRule="auto"/>
        <w:ind w:left="0" w:right="0" w:firstLine="720"/>
        <w:jc w:val="both"/>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РЕШИЛА:</w:t>
      </w:r>
    </w:p>
    <w:p>
      <w:pPr>
        <w:pStyle w:val="Style9"/>
        <w:keepNext w:val="0"/>
        <w:keepLines w:val="0"/>
        <w:widowControl w:val="0"/>
        <w:numPr>
          <w:ilvl w:val="0"/>
          <w:numId w:val="11"/>
        </w:numPr>
        <w:shd w:val="clear" w:color="auto" w:fill="auto"/>
        <w:tabs>
          <w:tab w:pos="1102" w:val="left"/>
        </w:tabs>
        <w:bidi w:val="0"/>
        <w:spacing w:before="0" w:after="0" w:line="240" w:lineRule="auto"/>
        <w:ind w:left="0" w:right="0" w:firstLine="720"/>
        <w:jc w:val="both"/>
      </w:pPr>
      <w:r>
        <w:rPr>
          <w:rStyle w:val="CharStyle10"/>
        </w:rPr>
        <w:t xml:space="preserve">Признать жалобу ООО «Медпартс» на действия комиссии ГБУЗ «ГКБ </w:t>
      </w:r>
      <w:r>
        <w:rPr>
          <w:rStyle w:val="CharStyle10"/>
          <w:lang w:val="en-US" w:eastAsia="en-US"/>
        </w:rPr>
        <w:t xml:space="preserve">№ 31 </w:t>
      </w:r>
      <w:r>
        <w:rPr>
          <w:rStyle w:val="CharStyle10"/>
        </w:rPr>
        <w:t>им. академика Г.М. Савельевой ДЗМ» необоснованной.</w:t>
      </w:r>
    </w:p>
    <w:p>
      <w:pPr>
        <w:pStyle w:val="Style9"/>
        <w:keepNext w:val="0"/>
        <w:keepLines w:val="0"/>
        <w:widowControl w:val="0"/>
        <w:numPr>
          <w:ilvl w:val="0"/>
          <w:numId w:val="11"/>
        </w:numPr>
        <w:shd w:val="clear" w:color="auto" w:fill="auto"/>
        <w:tabs>
          <w:tab w:pos="1098" w:val="left"/>
        </w:tabs>
        <w:bidi w:val="0"/>
        <w:spacing w:before="0" w:after="280" w:line="240" w:lineRule="auto"/>
        <w:ind w:left="0" w:right="0" w:firstLine="720"/>
        <w:jc w:val="both"/>
      </w:pPr>
      <w:r>
        <w:rPr>
          <w:rStyle w:val="CharStyle10"/>
        </w:rPr>
        <w:t>Снять ограничения, наложенные на определение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704" w:right="535" w:bottom="930" w:left="1103" w:header="0" w:footer="3" w:gutter="0"/>
          <w:cols w:space="720"/>
          <w:noEndnote/>
          <w:rtlGutter w:val="0"/>
          <w:docGrid w:linePitch="360"/>
        </w:sectPr>
      </w:pPr>
      <w:r>
        <mc:AlternateContent>
          <mc:Choice Requires="wps">
            <w:drawing>
              <wp:anchor distT="127000" distB="194945" distL="0" distR="0" simplePos="0" relativeHeight="125829378" behindDoc="0" locked="0" layoutInCell="1" allowOverlap="1">
                <wp:simplePos x="0" y="0"/>
                <wp:positionH relativeFrom="page">
                  <wp:posOffset>736600</wp:posOffset>
                </wp:positionH>
                <wp:positionV relativeFrom="paragraph">
                  <wp:posOffset>127000</wp:posOffset>
                </wp:positionV>
                <wp:extent cx="1844040" cy="250190"/>
                <wp:wrapTopAndBottom/>
                <wp:docPr id="14" name="Shape 14"/>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8.pt;margin-top:10.pt;width:145.20000000000002pt;height:19.699999999999999pt;z-index:-125829375;mso-wrap-distance-left:0;mso-wrap-distance-top:10.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227330" distB="635" distL="0" distR="1816735" simplePos="0" relativeHeight="125829380" behindDoc="0" locked="0" layoutInCell="1" allowOverlap="1">
            <wp:simplePos x="0" y="0"/>
            <wp:positionH relativeFrom="page">
              <wp:posOffset>3098800</wp:posOffset>
            </wp:positionH>
            <wp:positionV relativeFrom="paragraph">
              <wp:posOffset>227330</wp:posOffset>
            </wp:positionV>
            <wp:extent cx="298450" cy="34734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3488690</wp:posOffset>
                </wp:positionH>
                <wp:positionV relativeFrom="paragraph">
                  <wp:posOffset>288290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4.69999999999999pt;margin-top:22.69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4945" distL="0" distR="0" simplePos="0" relativeHeight="125829381" behindDoc="0" locked="0" layoutInCell="1" allowOverlap="1">
                <wp:simplePos x="0" y="0"/>
                <wp:positionH relativeFrom="page">
                  <wp:posOffset>6079490</wp:posOffset>
                </wp:positionH>
                <wp:positionV relativeFrom="paragraph">
                  <wp:posOffset>127000</wp:posOffset>
                </wp:positionV>
                <wp:extent cx="1136650" cy="250190"/>
                <wp:wrapTopAndBottom/>
                <wp:docPr id="20" name="Shape 20"/>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Д.С. Грешнева</w:t>
                            </w:r>
                          </w:p>
                        </w:txbxContent>
                      </wps:txbx>
                      <wps:bodyPr wrap="none" lIns="0" tIns="0" rIns="0" bIns="0">
                        <a:noAutoFit/>
                      </wps:bodyPr>
                    </wps:wsp>
                  </a:graphicData>
                </a:graphic>
              </wp:anchor>
            </w:drawing>
          </mc:Choice>
          <mc:Fallback>
            <w:pict>
              <v:shape id="_x0000_s1046" type="#_x0000_t202" style="position:absolute;margin-left:478.69999999999999pt;margin-top:10.pt;width:89.5pt;height:19.699999999999999pt;z-index:-125829372;mso-wrap-distance-left:0;mso-wrap-distance-top:10.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Д.С. Грешнева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6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color w:val="292929"/>
        </w:rPr>
        <w:t xml:space="preserve">Сертификат № </w:t>
      </w:r>
      <w:r>
        <w:rPr>
          <w:rStyle w:val="CharStyle22"/>
          <w:color w:val="5D5D5D"/>
        </w:rPr>
        <w:t>00831</w:t>
      </w:r>
      <w:r>
        <w:rPr>
          <w:rStyle w:val="CharStyle22"/>
          <w:lang w:val="en-US" w:eastAsia="en-US"/>
        </w:rPr>
        <w:t>B7545C61281C4BAB156778A683BFB</w:t>
      </w:r>
    </w:p>
    <w:p>
      <w:pPr>
        <w:pStyle w:val="Style21"/>
        <w:keepNext w:val="0"/>
        <w:keepLines w:val="0"/>
        <w:widowControl w:val="0"/>
        <w:shd w:val="clear" w:color="auto" w:fill="auto"/>
        <w:bidi w:val="0"/>
        <w:spacing w:before="0" w:after="560" w:line="240" w:lineRule="auto"/>
        <w:ind w:right="0" w:firstLine="0"/>
        <w:jc w:val="left"/>
      </w:pPr>
      <w:r>
        <w:rPr>
          <w:rStyle w:val="CharStyle22"/>
        </w:rPr>
        <w:t xml:space="preserve">Действителен с </w:t>
      </w:r>
      <w:r>
        <w:rPr>
          <w:rStyle w:val="CharStyle22"/>
          <w:color w:val="292929"/>
        </w:rPr>
        <w:t xml:space="preserve">17.07.2025 </w:t>
      </w:r>
      <w:r>
        <w:rPr>
          <w:rStyle w:val="CharStyle22"/>
          <w:color w:val="5D5D5D"/>
        </w:rPr>
        <w:t xml:space="preserve">по </w:t>
      </w:r>
      <w:r>
        <w:rPr>
          <w:rStyle w:val="CharStyle22"/>
        </w:rPr>
        <w:t>10.10.2026</w:t>
      </w:r>
    </w:p>
    <w:p>
      <w:pPr>
        <w:pStyle w:val="Style9"/>
        <w:keepNext w:val="0"/>
        <w:keepLines w:val="0"/>
        <w:widowControl w:val="0"/>
        <w:shd w:val="clear" w:color="auto" w:fill="auto"/>
        <w:bidi w:val="0"/>
        <w:spacing w:before="0" w:after="0" w:line="240" w:lineRule="auto"/>
        <w:ind w:left="0" w:right="0" w:firstLine="0"/>
        <w:jc w:val="left"/>
      </w:pPr>
      <w:r>
        <w:rPr>
          <w:rStyle w:val="CharStyle10"/>
        </w:rPr>
        <w:t>Члены Комиссии:</w:t>
      </w:r>
    </w:p>
    <w:p>
      <w:pPr>
        <w:widowControl w:val="0"/>
        <w:spacing w:line="1" w:lineRule="exact"/>
        <w:sectPr>
          <w:footnotePr>
            <w:pos w:val="pageBottom"/>
            <w:numFmt w:val="decimal"/>
            <w:numRestart w:val="continuous"/>
          </w:footnotePr>
          <w:type w:val="continuous"/>
          <w:pgSz w:w="11900" w:h="16840"/>
          <w:pgMar w:top="716" w:right="532" w:bottom="1306" w:left="1106" w:header="0" w:footer="3" w:gutter="0"/>
          <w:cols w:space="720"/>
          <w:noEndnote/>
          <w:rtlGutter w:val="0"/>
          <w:docGrid w:linePitch="360"/>
        </w:sectPr>
      </w:pPr>
      <w:r>
        <mc:AlternateContent>
          <mc:Choice Requires="wps">
            <w:drawing>
              <wp:anchor distT="161290" distB="0" distL="0" distR="0" simplePos="0" relativeHeight="125829383" behindDoc="0" locked="0" layoutInCell="1" allowOverlap="1">
                <wp:simplePos x="0" y="0"/>
                <wp:positionH relativeFrom="page">
                  <wp:posOffset>3489325</wp:posOffset>
                </wp:positionH>
                <wp:positionV relativeFrom="paragraph">
                  <wp:posOffset>161290</wp:posOffset>
                </wp:positionV>
                <wp:extent cx="1722120" cy="259080"/>
                <wp:wrapTopAndBottom/>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4.75pt;margin-top:12.700000000000001pt;width:135.59999999999999pt;height:20.400000000000002pt;z-index:-125829370;mso-wrap-distance-left:0;mso-wrap-distance-top:12.700000000000001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5" behindDoc="0" locked="0" layoutInCell="1" allowOverlap="1">
                <wp:simplePos x="0" y="0"/>
                <wp:positionH relativeFrom="page">
                  <wp:posOffset>6098540</wp:posOffset>
                </wp:positionH>
                <wp:positionV relativeFrom="paragraph">
                  <wp:posOffset>0</wp:posOffset>
                </wp:positionV>
                <wp:extent cx="1118870" cy="252730"/>
                <wp:wrapTopAndBottom/>
                <wp:docPr id="24" name="Shape 24"/>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М.О. Мацнева</w:t>
                            </w:r>
                          </w:p>
                        </w:txbxContent>
                      </wps:txbx>
                      <wps:bodyPr wrap="none" lIns="0" tIns="0" rIns="0" bIns="0">
                        <a:noAutoFit/>
                      </wps:bodyPr>
                    </wps:wsp>
                  </a:graphicData>
                </a:graphic>
              </wp:anchor>
            </w:drawing>
          </mc:Choice>
          <mc:Fallback>
            <w:pict>
              <v:shape id="_x0000_s1050" type="#_x0000_t202" style="position:absolute;margin-left:480.19999999999999pt;margin-top:0;width:88.100000000000009pt;height:19.900000000000002pt;z-index:-125829368;mso-wrap-distance-left:0;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М.О. Мацнева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6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Мацнева Мария Олеговна</w:t>
      </w:r>
    </w:p>
    <w:p>
      <w:pPr>
        <w:pStyle w:val="Style21"/>
        <w:keepNext w:val="0"/>
        <w:keepLines w:val="0"/>
        <w:widowControl w:val="0"/>
        <w:shd w:val="clear" w:color="auto" w:fill="auto"/>
        <w:bidi w:val="0"/>
        <w:spacing w:before="0" w:after="0" w:line="240" w:lineRule="auto"/>
        <w:ind w:right="0" w:firstLine="0"/>
        <w:jc w:val="both"/>
      </w:pPr>
      <w:r>
        <w:rPr>
          <w:rStyle w:val="CharStyle22"/>
        </w:rPr>
        <w:t xml:space="preserve">Сертификат </w:t>
      </w:r>
      <w:r>
        <w:rPr>
          <w:rStyle w:val="CharStyle22"/>
          <w:color w:val="292929"/>
        </w:rPr>
        <w:t xml:space="preserve">№ </w:t>
      </w:r>
      <w:r>
        <w:rPr>
          <w:rStyle w:val="CharStyle22"/>
          <w:lang w:val="en-US" w:eastAsia="en-US"/>
        </w:rPr>
        <w:t>00FDA1C988AAB27A9A34756B8D5F1D853</w:t>
      </w:r>
      <w:r>
        <w:rPr>
          <w:rStyle w:val="CharStyle22"/>
          <w:lang w:val="en-US" w:eastAsia="en-US"/>
        </w:rPr>
        <w:t>A</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Действителен с 22.07.2025 </w:t>
      </w:r>
      <w:r>
        <w:rPr>
          <w:rStyle w:val="CharStyle22"/>
          <w:color w:val="5D5D5D"/>
        </w:rPr>
        <w:t xml:space="preserve">по </w:t>
      </w:r>
      <w:r>
        <w:rPr>
          <w:rStyle w:val="CharStyle22"/>
        </w:rPr>
        <w:t>15.10.2026</w:t>
      </w:r>
    </w:p>
    <w:p>
      <w:pPr>
        <w:widowControl w:val="0"/>
        <w:spacing w:line="1" w:lineRule="exact"/>
        <w:sectPr>
          <w:footnotePr>
            <w:pos w:val="pageBottom"/>
            <w:numFmt w:val="decimal"/>
            <w:numRestart w:val="continuous"/>
          </w:footnotePr>
          <w:type w:val="continuous"/>
          <w:pgSz w:w="11900" w:h="16840"/>
          <w:pgMar w:top="716" w:right="532" w:bottom="1306" w:left="1106" w:header="0" w:footer="3" w:gutter="0"/>
          <w:cols w:space="720"/>
          <w:noEndnote/>
          <w:rtlGutter w:val="0"/>
          <w:docGrid w:linePitch="360"/>
        </w:sectPr>
      </w:pPr>
      <w:r>
        <mc:AlternateContent>
          <mc:Choice Requires="wps">
            <w:drawing>
              <wp:anchor distT="440690" distB="0" distL="0" distR="0" simplePos="0" relativeHeight="125829387" behindDoc="0" locked="0" layoutInCell="1" allowOverlap="1">
                <wp:simplePos x="0" y="0"/>
                <wp:positionH relativeFrom="page">
                  <wp:posOffset>3489325</wp:posOffset>
                </wp:positionH>
                <wp:positionV relativeFrom="paragraph">
                  <wp:posOffset>440690</wp:posOffset>
                </wp:positionV>
                <wp:extent cx="1722120" cy="259080"/>
                <wp:wrapTopAndBottom/>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4.75pt;margin-top:34.700000000000003pt;width:135.59999999999999pt;height:20.400000000000002pt;z-index:-125829366;mso-wrap-distance-left:0;mso-wrap-distance-top:34.700000000000003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89" behindDoc="0" locked="0" layoutInCell="1" allowOverlap="1">
                <wp:simplePos x="0" y="0"/>
                <wp:positionH relativeFrom="page">
                  <wp:posOffset>5976620</wp:posOffset>
                </wp:positionH>
                <wp:positionV relativeFrom="paragraph">
                  <wp:posOffset>279400</wp:posOffset>
                </wp:positionV>
                <wp:extent cx="1240790" cy="252730"/>
                <wp:wrapTopAndBottom/>
                <wp:docPr id="28" name="Shape 28"/>
                <a:graphic xmlns:a="http://schemas.openxmlformats.org/drawingml/2006/main">
                  <a:graphicData uri="http://schemas.microsoft.com/office/word/2010/wordprocessingShape">
                    <wps:wsp>
                      <wps:cNvSpPr txBox="1"/>
                      <wps:spPr>
                        <a:xfrm>
                          <a:ext cx="12407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М.В. Сорбучева</w:t>
                            </w:r>
                          </w:p>
                        </w:txbxContent>
                      </wps:txbx>
                      <wps:bodyPr wrap="none" lIns="0" tIns="0" rIns="0" bIns="0">
                        <a:noAutoFit/>
                      </wps:bodyPr>
                    </wps:wsp>
                  </a:graphicData>
                </a:graphic>
              </wp:anchor>
            </w:drawing>
          </mc:Choice>
          <mc:Fallback>
            <w:pict>
              <v:shape id="_x0000_s1054" type="#_x0000_t202" style="position:absolute;margin-left:470.60000000000002pt;margin-top:22.pt;width:97.700000000000003pt;height:19.900000000000002pt;z-index:-125829364;mso-wrap-distance-left:0;mso-wrap-distance-top:22.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М.В. Сорбучева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6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6EBF6CE6C27B6345D47DBCD40C7FA5FD</w:t>
      </w:r>
    </w:p>
    <w:p>
      <w:pPr>
        <w:pStyle w:val="Style21"/>
        <w:keepNext w:val="0"/>
        <w:keepLines w:val="0"/>
        <w:widowControl w:val="0"/>
        <w:shd w:val="clear" w:color="auto" w:fill="auto"/>
        <w:bidi w:val="0"/>
        <w:spacing w:before="0" w:after="520" w:line="240" w:lineRule="auto"/>
        <w:ind w:right="0" w:firstLine="0"/>
        <w:jc w:val="left"/>
      </w:pPr>
      <w:r>
        <w:rPr>
          <w:rStyle w:val="CharStyle22"/>
        </w:rPr>
        <w:t xml:space="preserve">Действителен с 19.09.2025 </w:t>
      </w:r>
      <w:r>
        <w:rPr>
          <w:rStyle w:val="CharStyle22"/>
          <w:color w:val="5D5D5D"/>
        </w:rPr>
        <w:t xml:space="preserve">по </w:t>
      </w:r>
      <w:r>
        <w:rPr>
          <w:rStyle w:val="CharStyle22"/>
        </w:rPr>
        <w:t>13.12.2026</w:t>
      </w:r>
    </w:p>
    <w:p>
      <w:pPr>
        <w:pStyle w:val="Style26"/>
        <w:keepNext w:val="0"/>
        <w:keepLines w:val="0"/>
        <w:widowControl w:val="0"/>
        <w:shd w:val="clear" w:color="auto" w:fill="auto"/>
        <w:bidi w:val="0"/>
        <w:spacing w:before="0" w:line="240" w:lineRule="auto"/>
        <w:ind w:left="0" w:right="0" w:firstLine="0"/>
        <w:jc w:val="left"/>
      </w:pPr>
      <w:r>
        <w:rPr>
          <w:rStyle w:val="CharStyle27"/>
        </w:rPr>
        <w:t>Исп.Сорбучева М.В тел.8(495)784-75-05</w:t>
      </w:r>
    </w:p>
    <w:sectPr>
      <w:footnotePr>
        <w:pos w:val="pageBottom"/>
        <w:numFmt w:val="decimal"/>
        <w:numRestart w:val="continuous"/>
      </w:footnotePr>
      <w:type w:val="continuous"/>
      <w:pgSz w:w="11900" w:h="16840"/>
      <w:pgMar w:top="716" w:right="532" w:bottom="71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10319385</wp:posOffset>
              </wp:positionV>
              <wp:extent cx="719455" cy="103505"/>
              <wp:wrapNone/>
              <wp:docPr id="4" name="Shape 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wps:txbx>
                    <wps:bodyPr wrap="none" lIns="0" tIns="0" rIns="0" bIns="0">
                      <a:spAutoFit/>
                    </wps:bodyPr>
                  </wps:wsp>
                </a:graphicData>
              </a:graphic>
            </wp:anchor>
          </w:drawing>
        </mc:Choice>
        <mc:Fallback>
          <w:pict>
            <v:shape id="_x0000_s1030" type="#_x0000_t202" style="position:absolute;margin-left:57.050000000000004pt;margin-top:812.55000000000007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8345" cy="125095"/>
              <wp:wrapNone/>
              <wp:docPr id="6" name="Shape 6"/>
              <a:graphic xmlns:a="http://schemas.openxmlformats.org/drawingml/2006/main">
                <a:graphicData uri="http://schemas.microsoft.com/office/word/2010/wordprocessingShape">
                  <wps:wsp>
                    <wps:cNvSpPr txBox="1"/>
                    <wps:spPr>
                      <a:xfrm>
                        <a:ext cx="7283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wps:txbx>
                    <wps:bodyPr wrap="none" lIns="0" tIns="0" rIns="0" bIns="0">
                      <a:spAutoFit/>
                    </wps:bodyPr>
                  </wps:wsp>
                </a:graphicData>
              </a:graphic>
            </wp:anchor>
          </w:drawing>
        </mc:Choice>
        <mc:Fallback>
          <w:pict>
            <v:shape id="_x0000_s1032" type="#_x0000_t202" style="position:absolute;margin-left:57.pt;margin-top:804.5pt;width:57.3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10319385</wp:posOffset>
              </wp:positionV>
              <wp:extent cx="719455" cy="103505"/>
              <wp:wrapNone/>
              <wp:docPr id="12" name="Shape 12"/>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wps:txbx>
                    <wps:bodyPr wrap="none" lIns="0" tIns="0" rIns="0" bIns="0">
                      <a:spAutoFit/>
                    </wps:bodyPr>
                  </wps:wsp>
                </a:graphicData>
              </a:graphic>
            </wp:anchor>
          </w:drawing>
        </mc:Choice>
        <mc:Fallback>
          <w:pict>
            <v:shape id="_x0000_s1038" type="#_x0000_t202" style="position:absolute;margin-left:57.050000000000004pt;margin-top:812.55000000000007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2026-24672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3888105</wp:posOffset>
              </wp:positionH>
              <wp:positionV relativeFrom="page">
                <wp:posOffset>181610</wp:posOffset>
              </wp:positionV>
              <wp:extent cx="115570" cy="100330"/>
              <wp:wrapNone/>
              <wp:docPr id="2" name="Shape 2"/>
              <a:graphic xmlns:a="http://schemas.openxmlformats.org/drawingml/2006/main">
                <a:graphicData uri="http://schemas.microsoft.com/office/word/2010/wordprocessingShape">
                  <wps:wsp>
                    <wps:cNvSpPr txBox="1"/>
                    <wps:spPr>
                      <a:xfrm>
                        <a:ext cx="1155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15000000000003pt;margin-top:14.300000000000001pt;width:9.0999999999999996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226060</wp:posOffset>
              </wp:positionV>
              <wp:extent cx="76200" cy="69850"/>
              <wp:wrapNone/>
              <wp:docPr id="8" name="Shape 8"/>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4" type="#_x0000_t202" style="position:absolute;margin-left:309.pt;margin-top:17.800000000000001pt;width:6.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3888105</wp:posOffset>
              </wp:positionH>
              <wp:positionV relativeFrom="page">
                <wp:posOffset>181610</wp:posOffset>
              </wp:positionV>
              <wp:extent cx="115570" cy="100330"/>
              <wp:wrapNone/>
              <wp:docPr id="10" name="Shape 10"/>
              <a:graphic xmlns:a="http://schemas.openxmlformats.org/drawingml/2006/main">
                <a:graphicData uri="http://schemas.microsoft.com/office/word/2010/wordprocessingShape">
                  <wps:wsp>
                    <wps:cNvSpPr txBox="1"/>
                    <wps:spPr>
                      <a:xfrm>
                        <a:ext cx="1155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6.15000000000003pt;margin-top:14.300000000000001pt;width:9.0999999999999996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32"/>
      <w:szCs w:val="32"/>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3)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14141"/>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4)"/>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3)"/>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760"/>
    </w:pPr>
    <w:rPr>
      <w:rFonts w:ascii="Arial" w:eastAsia="Arial" w:hAnsi="Arial" w:cs="Arial"/>
      <w:b w:val="0"/>
      <w:bCs w:val="0"/>
      <w:i w:val="0"/>
      <w:iCs w:val="0"/>
      <w:smallCaps w:val="0"/>
      <w:strike w:val="0"/>
      <w:color w:val="414141"/>
      <w:sz w:val="12"/>
      <w:szCs w:val="12"/>
      <w:u w:val="none"/>
    </w:rPr>
  </w:style>
  <w:style w:type="paragraph" w:customStyle="1" w:styleId="Style26">
    <w:name w:val="Body text (5)"/>
    <w:basedOn w:val="Normal"/>
    <w:link w:val="CharStyle27"/>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s>
</file>