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21.05.2026</w:t>
      </w:r>
      <w:r>
        <w:fldChar w:fldCharType="end"/>
      </w:r>
      <w:r>
        <w:rPr>
          <w:rStyle w:val="CharStyle10"/>
        </w:rPr>
        <w:tab/>
        <w:t>№ 21861/26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ГБУЗ ГКБ им. С. П. Боткина ДЗМ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"mailto:tender@botkinmoscow.ru" </w:instrText>
      </w:r>
      <w:r>
        <w:fldChar w:fldCharType="separate"/>
      </w:r>
      <w:r>
        <w:rPr>
          <w:rStyle w:val="CharStyle12"/>
          <w:lang w:val="en-US" w:eastAsia="en-US"/>
        </w:rPr>
        <w:t>tender@botkinmoscow.ru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ИП Фоломеев Ю.А.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4" w:right="1381" w:bottom="708" w:left="1265" w:header="0" w:footer="3" w:gutter="0"/>
          <w:pgNumType w:start="1"/>
          <w:cols w:num="2" w:space="1027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"mailto:zakupkifolomeev@gmail.com" </w:instrText>
      </w:r>
      <w:r>
        <w:fldChar w:fldCharType="separate"/>
      </w:r>
      <w:r>
        <w:rPr>
          <w:rStyle w:val="CharStyle12"/>
          <w:lang w:val="en-US" w:eastAsia="en-US"/>
        </w:rPr>
        <w:t>zakupkifolomeev@gmail.com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45" w:right="0" w:bottom="75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077/06/105-6376/2026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19.05.2026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специалиста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А.А. 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А.С. 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ГБУЗ ММНКЦ им. С.П. Боткина ДЗМ: А.А. Яновского (по доверенности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03-б от </w:t>
      </w:r>
      <w:r>
        <w:rPr>
          <w:rStyle w:val="CharStyle12"/>
          <w:lang w:val="en-US" w:eastAsia="en-US"/>
        </w:rPr>
        <w:t>15.01.2026),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ИП Фоломеев Ю.А.: В.И. Глушенковой (по доверенности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б/н от </w:t>
      </w:r>
      <w:r>
        <w:rPr>
          <w:rStyle w:val="CharStyle12"/>
          <w:lang w:val="en-US" w:eastAsia="en-US"/>
        </w:rPr>
        <w:t>18.05.2026),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ИП Фоломеев Ю.А.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ММНКЦ им. С.П. Боткина ДЗМ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медицинских изделий, в том числе в рамках оказания ВМП </w:t>
      </w:r>
      <w:r>
        <w:rPr>
          <w:rStyle w:val="CharStyle12"/>
          <w:lang w:val="en-US" w:eastAsia="en-US"/>
        </w:rPr>
        <w:t xml:space="preserve">2026 </w:t>
      </w:r>
      <w:r>
        <w:rPr>
          <w:rStyle w:val="CharStyle12"/>
        </w:rPr>
        <w:t xml:space="preserve">(гр.14,15,16,63,64) (ГМ2026-05) для нужд ГБУЗ ММНКЦ им. С.П. Боткина ДЗМ (Закупка </w:t>
      </w:r>
      <w:r>
        <w:rPr>
          <w:rStyle w:val="CharStyle12"/>
          <w:lang w:val="en-US" w:eastAsia="en-US"/>
        </w:rPr>
        <w:t xml:space="preserve">№ 0373200045226000780)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электронный аукцион, 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635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63500</wp:posOffset>
            </wp:positionV>
            <wp:extent cx="1511935" cy="29273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3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Согласно ч.2 ст.33 Закона о контрактной системе описание объекта закупки в соответствии с требованиями, указанными в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660"/>
        <w:jc w:val="both"/>
      </w:pPr>
      <w:r>
        <w:rPr>
          <w:rStyle w:val="CharStyle12"/>
        </w:rPr>
        <w:t xml:space="preserve">По мнению Заявителя, совокупность установленных параметров для товаров по п.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«Средство гемостатическое на основе полисахаридов, рассасывающееся» соответствуют товарам единственного производителя </w:t>
      </w:r>
      <w:r>
        <w:rPr>
          <w:rStyle w:val="CharStyle12"/>
          <w:lang w:val="en-US" w:eastAsia="en-US"/>
        </w:rPr>
        <w:t xml:space="preserve">- Aegis Lifesciences Private Limited </w:t>
      </w:r>
      <w:r>
        <w:rPr>
          <w:rStyle w:val="CharStyle12"/>
        </w:rPr>
        <w:t>(«Эгис Лайфсайенс Прайвэт Лимитед»), Республика Индия,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регистрационное удостоверение РЗН </w:t>
      </w:r>
      <w:r>
        <w:rPr>
          <w:rStyle w:val="CharStyle12"/>
          <w:lang w:val="en-US" w:eastAsia="en-US"/>
        </w:rPr>
        <w:t xml:space="preserve">2025/25944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23.01.2026, </w:t>
      </w:r>
      <w:r>
        <w:rPr>
          <w:rStyle w:val="CharStyle12"/>
        </w:rPr>
        <w:t xml:space="preserve">при этом ограничивающей характеристикой является: «Количество в упаковке»: </w:t>
      </w:r>
      <w:r>
        <w:rPr>
          <w:rStyle w:val="CharStyle12"/>
          <w:lang w:val="en-US" w:eastAsia="en-US"/>
        </w:rPr>
        <w:t>≥ 12».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представитель Заказчика пояснил, что под описание объекта закупки подходят как минимум три производителя: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Материал хирургический гемостатический рассасывающийся (окисленная регенерированная целлюлоза) </w:t>
      </w:r>
      <w:r>
        <w:rPr>
          <w:rStyle w:val="CharStyle12"/>
          <w:lang w:val="en-US" w:eastAsia="en-US"/>
        </w:rPr>
        <w:t xml:space="preserve">Surgi-ORC, </w:t>
      </w:r>
      <w:r>
        <w:rPr>
          <w:rStyle w:val="CharStyle12"/>
        </w:rPr>
        <w:t xml:space="preserve">Вариант исполнения: </w:t>
      </w:r>
      <w:r>
        <w:rPr>
          <w:rStyle w:val="CharStyle12"/>
          <w:lang w:val="en-US" w:eastAsia="en-US"/>
        </w:rPr>
        <w:t xml:space="preserve">Surgi-ORC Fibril: SOF-0404, </w:t>
      </w:r>
      <w:r>
        <w:rPr>
          <w:rStyle w:val="CharStyle12"/>
        </w:rPr>
        <w:t xml:space="preserve">производства </w:t>
      </w:r>
      <w:r>
        <w:rPr>
          <w:rStyle w:val="CharStyle12"/>
          <w:lang w:val="en-US" w:eastAsia="en-US"/>
        </w:rPr>
        <w:t xml:space="preserve">Aegis Lifesciences Private Limited </w:t>
      </w:r>
      <w:r>
        <w:rPr>
          <w:rStyle w:val="CharStyle12"/>
        </w:rPr>
        <w:t xml:space="preserve">(«Эгис Лайфсайенс Прайвэт Лимитед»), страна происхождения: Республика Индия, регистрационное удостоверение РЗН </w:t>
      </w:r>
      <w:r>
        <w:rPr>
          <w:rStyle w:val="CharStyle12"/>
          <w:lang w:val="en-US" w:eastAsia="en-US"/>
        </w:rPr>
        <w:t xml:space="preserve">2025/25944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23.01.2026;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Средство гемостатическое рассасывающееся </w:t>
      </w:r>
      <w:r>
        <w:rPr>
          <w:rStyle w:val="CharStyle12"/>
          <w:lang w:val="en-US" w:eastAsia="en-US"/>
        </w:rPr>
        <w:t xml:space="preserve">Pahacel, </w:t>
      </w:r>
      <w:r>
        <w:rPr>
          <w:rStyle w:val="CharStyle12"/>
        </w:rPr>
        <w:t xml:space="preserve">производства «Алтайлар Медикал Тибби Малземелери Инсаат Текстил Гида Итх. Ихр. Сан. ве Тик. Лтд. Сти.», страна происхождения: Республика Турция, регистрационное удостоверение РЗН </w:t>
      </w:r>
      <w:r>
        <w:rPr>
          <w:rStyle w:val="CharStyle12"/>
          <w:lang w:val="en-US" w:eastAsia="en-US"/>
        </w:rPr>
        <w:t xml:space="preserve">2023/20299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26.05.2023;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Средство гемостатическое рассасывающееся </w:t>
      </w:r>
      <w:r>
        <w:rPr>
          <w:rStyle w:val="CharStyle12"/>
          <w:lang w:val="en-US" w:eastAsia="en-US"/>
        </w:rPr>
        <w:t xml:space="preserve">Willocell Fibril, 10,2 </w:t>
      </w:r>
      <w:r>
        <w:rPr>
          <w:rStyle w:val="CharStyle12"/>
        </w:rPr>
        <w:t xml:space="preserve">х </w:t>
      </w:r>
      <w:r>
        <w:rPr>
          <w:rStyle w:val="CharStyle12"/>
          <w:lang w:val="en-US" w:eastAsia="en-US"/>
        </w:rPr>
        <w:t xml:space="preserve">10,2 </w:t>
      </w:r>
      <w:r>
        <w:rPr>
          <w:rStyle w:val="CharStyle12"/>
        </w:rPr>
        <w:t xml:space="preserve">см, производства </w:t>
      </w:r>
      <w:r>
        <w:rPr>
          <w:rStyle w:val="CharStyle12"/>
          <w:lang w:val="en-US" w:eastAsia="en-US"/>
        </w:rPr>
        <w:t xml:space="preserve">Will-Pharma B.V. </w:t>
      </w:r>
      <w:r>
        <w:rPr>
          <w:rStyle w:val="CharStyle12"/>
        </w:rPr>
        <w:t xml:space="preserve">(Вилл-Фарма Б.В.), страна происхождения: Королевство Нидерландов, регистрационное удостоверение РЗН </w:t>
      </w:r>
      <w:r>
        <w:rPr>
          <w:rStyle w:val="CharStyle12"/>
          <w:lang w:val="en-US" w:eastAsia="en-US"/>
        </w:rPr>
        <w:t xml:space="preserve">2016/5008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07.02.2026. </w:t>
      </w:r>
      <w:r>
        <w:rPr>
          <w:rStyle w:val="CharStyle12"/>
        </w:rPr>
        <w:t>(стр.6 инструкции).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Так, согласно странице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инструкции, размещенной на сайте Росздравнадзора, на регистрационное удостоверение РЗН </w:t>
      </w:r>
      <w:r>
        <w:rPr>
          <w:rStyle w:val="CharStyle12"/>
          <w:lang w:val="en-US" w:eastAsia="en-US"/>
        </w:rPr>
        <w:t xml:space="preserve">2025/25944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23.01.2026 </w:t>
      </w:r>
      <w:r>
        <w:rPr>
          <w:rStyle w:val="CharStyle12"/>
        </w:rPr>
        <w:t xml:space="preserve">указано: «Комплектность: Изделие поставляется в картонной коробке, содержащей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 xml:space="preserve">или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индивидуальных пакетов». В инструкции размещенной на сайте Росздравнадзора на регистрационное удостоверение РЗН </w:t>
      </w:r>
      <w:r>
        <w:rPr>
          <w:rStyle w:val="CharStyle12"/>
          <w:lang w:val="en-US" w:eastAsia="en-US"/>
        </w:rPr>
        <w:t xml:space="preserve">2016/5008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07.02.2026 </w:t>
      </w:r>
      <w:r>
        <w:rPr>
          <w:rStyle w:val="CharStyle12"/>
        </w:rPr>
        <w:t xml:space="preserve">на странице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>указана аналогичная информация.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обоснование своей позиции представитель Заказчика предоставил информационное письмо (Исх. </w:t>
      </w:r>
      <w:r>
        <w:rPr>
          <w:rStyle w:val="CharStyle12"/>
          <w:lang w:val="en-US" w:eastAsia="en-US"/>
        </w:rPr>
        <w:t xml:space="preserve">№1505-1/2026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15.05.2026) </w:t>
      </w:r>
      <w:r>
        <w:rPr>
          <w:rStyle w:val="CharStyle12"/>
        </w:rPr>
        <w:t>от ООО «НаноМедикал Групп» уполномоченного представителя компании «Алтайлар Медикал Тибби Малземе Инсаат Текстил Гида Итхалат Ихракат Санайи ве тикарет Лтд. Сти.» и компании «Вилл-Фарм Б.В.», в котором ООО «НаноМедикал Групп» подтверждает характеристики материала на соответствие установленным Заказчиком требованиям.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Заявителя пояснил, что вышеуказанные модели производителей не соответствуют по характеристике «Количество в упаковке»: </w:t>
      </w:r>
      <w:r>
        <w:rPr>
          <w:rStyle w:val="CharStyle12"/>
          <w:lang w:val="en-US" w:eastAsia="en-US"/>
        </w:rPr>
        <w:t xml:space="preserve">≥ 12», </w:t>
      </w:r>
      <w:r>
        <w:rPr>
          <w:rStyle w:val="CharStyle12"/>
        </w:rPr>
        <w:t xml:space="preserve">так как согласно сведениям с официального сайта производителя количество в упаковке: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>шт. указано для иных моделей, не соответствующих требованиям извещения.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2"/>
        </w:rPr>
        <w:t xml:space="preserve">Вместе с тем Комиссия Управления отмечает, что из инструкций, размещенных на сайте Росздравнадзора, на регистрационные удостоверения №РЗН </w:t>
      </w:r>
      <w:r>
        <w:rPr>
          <w:rStyle w:val="CharStyle12"/>
          <w:lang w:val="en-US" w:eastAsia="en-US"/>
        </w:rPr>
        <w:t xml:space="preserve">2023/20299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26.05.2023 </w:t>
      </w:r>
      <w:r>
        <w:rPr>
          <w:rStyle w:val="CharStyle12"/>
        </w:rPr>
        <w:t xml:space="preserve">и на №РЗН </w:t>
      </w:r>
      <w:r>
        <w:rPr>
          <w:rStyle w:val="CharStyle12"/>
          <w:lang w:val="en-US" w:eastAsia="en-US"/>
        </w:rPr>
        <w:t xml:space="preserve">2016/5008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07.02.2026 </w:t>
      </w:r>
      <w:r>
        <w:rPr>
          <w:rStyle w:val="CharStyle12"/>
        </w:rPr>
        <w:t xml:space="preserve">не следует, что комплектность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штук распространяется только на определенные модели, которые, </w:t>
      </w:r>
      <w:r>
        <w:rPr>
          <w:rStyle w:val="CharStyle12"/>
          <w:sz w:val="24"/>
          <w:szCs w:val="24"/>
          <w:lang w:val="en-US" w:eastAsia="en-US"/>
        </w:rPr>
        <w:t>2026-25079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как указывает Заявитель, не соответствуют требованиям извещения.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Вместе с тем в составе жалобы, а также на заседании Комиссии Управления Заявителем не представлено документов и сведений, свидетельствующих о несоответствии товаров производства «Алтайлар Медикал Тибби Малземелери Инсаат Текстил Гида Итх. Ихр. Сан. ве Тик. Лтд. Сти.» и </w:t>
      </w:r>
      <w:r>
        <w:rPr>
          <w:rStyle w:val="CharStyle12"/>
          <w:lang w:val="en-US" w:eastAsia="en-US"/>
        </w:rPr>
        <w:t xml:space="preserve">Will-Pharma B.V. </w:t>
      </w:r>
      <w:r>
        <w:rPr>
          <w:rStyle w:val="CharStyle12"/>
        </w:rPr>
        <w:t>(Вилл- Фарма Б.В.) совокупности требований извещения, при этом представителем Заказчика представлено письмо уполномоченного представителя производителя (изготовителя) медицинского изделия о соответствии данных изделий установленным требованиям,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Иного на заседании Комиссии Управления не выявлено.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основании изложенного, Комиссия Управления приходит к выводу о том, что вышеуказанный довод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45" w:right="542" w:bottom="757" w:left="1100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Признать жалобу ИП Фоломеев Ю.А. на действия комиссии ГБУЗ ММНКЦ им. С.П. Боткина ДЗМ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74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12"/>
        </w:rPr>
        <w:t>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 (Арбитражном суде г. Москвы)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РФ, в течение 3(трех) месяцев с даты его принятия.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855" w:right="532" w:bottom="123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9177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58.200000000000003pt;margin-top:10.pt;width:145.20000000000002pt;height:19.699999999999999pt;z-index:-125829374;mso-wrap-distance-left:0;mso-wrap-distance-top:10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4790" distB="0" distL="0" distR="1816735" simplePos="0" relativeHeight="125829381" behindDoc="0" locked="0" layoutInCell="1" allowOverlap="1">
            <wp:simplePos x="0" y="0"/>
            <wp:positionH relativeFrom="page">
              <wp:posOffset>3138170</wp:posOffset>
            </wp:positionH>
            <wp:positionV relativeFrom="paragraph">
              <wp:posOffset>224790</wp:posOffset>
            </wp:positionV>
            <wp:extent cx="298450" cy="347345"/>
            <wp:wrapTopAndBottom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285750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80000000000001pt;margin-top:22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91770" distL="0" distR="0" simplePos="0" relativeHeight="125829382" behindDoc="0" locked="0" layoutInCell="1" allowOverlap="1">
                <wp:simplePos x="0" y="0"/>
                <wp:positionH relativeFrom="page">
                  <wp:posOffset>5914390</wp:posOffset>
                </wp:positionH>
                <wp:positionV relativeFrom="paragraph">
                  <wp:posOffset>127000</wp:posOffset>
                </wp:positionV>
                <wp:extent cx="1304290" cy="25019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65.69999999999999pt;margin-top:10.pt;width:102.7pt;height:19.699999999999999pt;z-index:-125829371;mso-wrap-distance-left:0;mso-wrap-distance-top:10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</w:t>
      </w:r>
      <w:r>
        <w:rPr>
          <w:rStyle w:val="CharStyle21"/>
          <w:color w:val="565656"/>
        </w:rPr>
        <w:t xml:space="preserve">выдан: </w:t>
      </w:r>
      <w:r>
        <w:rPr>
          <w:rStyle w:val="CharStyle21"/>
          <w:color w:val="000000"/>
        </w:rPr>
        <w:t>МАРТЬЯНОВА ЕЛЕНА ДМИТРИЕВНА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00EA3D636CED58A70F15417FA130B2F6C</w:t>
      </w:r>
      <w:r>
        <w:rPr>
          <w:rStyle w:val="CharStyle21"/>
          <w:lang w:val="en-US" w:eastAsia="en-US"/>
        </w:rPr>
        <w:t>B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1"/>
        </w:rPr>
        <w:t xml:space="preserve">Действителен с </w:t>
      </w:r>
      <w:r>
        <w:rPr>
          <w:rStyle w:val="CharStyle21"/>
          <w:color w:val="565656"/>
        </w:rPr>
        <w:t>20.04.2026 по 14.07.2027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80.90000000000003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7.75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Леонова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Леонова Алена Альбертовна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276EF4D805B62E966E204BCBEB72461C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1"/>
        </w:rPr>
        <w:t xml:space="preserve">Действителен с 05.12.2025 </w:t>
      </w:r>
      <w:r>
        <w:rPr>
          <w:rStyle w:val="CharStyle21"/>
          <w:color w:val="565656"/>
        </w:rPr>
        <w:t xml:space="preserve">по </w:t>
      </w:r>
      <w:r>
        <w:rPr>
          <w:rStyle w:val="CharStyle21"/>
        </w:rPr>
        <w:t>28.02.2027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42290"/>
            <wp:wrapSquare wrapText="right"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941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3505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80.90000000000003pt;margin-top:36.899999999999999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77.75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Е.С. Переверзева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 xml:space="preserve">ПЕРЕВЕРЗЕВА ЕЛИЗАВЕТА СЕРГЕЕВНА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00FFF3ACD3A01A73F4C680C3941</w:t>
      </w:r>
      <w:r>
        <w:rPr>
          <w:rStyle w:val="CharStyle21"/>
        </w:rPr>
        <w:t>ЕЗСА02</w:t>
      </w:r>
      <w:r>
        <w:rPr>
          <w:rStyle w:val="CharStyle21"/>
        </w:rPr>
        <w:t>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4640" w:line="266" w:lineRule="auto"/>
        <w:ind w:right="0" w:firstLine="0"/>
        <w:jc w:val="left"/>
      </w:pPr>
      <w:r>
        <w:rPr>
          <w:rStyle w:val="CharStyle21"/>
        </w:rPr>
        <w:t xml:space="preserve">Действителен с 11.12.2025 </w:t>
      </w:r>
      <w:r>
        <w:rPr>
          <w:rStyle w:val="CharStyle21"/>
          <w:color w:val="565656"/>
        </w:rPr>
        <w:t xml:space="preserve">по </w:t>
      </w:r>
      <w:r>
        <w:rPr>
          <w:rStyle w:val="CharStyle21"/>
        </w:rPr>
        <w:t>06.03.2027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55" w:right="532" w:bottom="94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10119995</wp:posOffset>
              </wp:positionV>
              <wp:extent cx="72263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2026-25079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200000000000003pt;margin-top:796.85000000000002pt;width:56.899999999999999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2026-25079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28345" cy="12827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2026-25079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pt;margin-top:804.30000000000007pt;width:57.350000000000001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2026-25079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10119995</wp:posOffset>
              </wp:positionV>
              <wp:extent cx="722630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2026-25079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200000000000003pt;margin-top:796.85000000000002pt;width:56.89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2026-25079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10119995</wp:posOffset>
              </wp:positionV>
              <wp:extent cx="722630" cy="103505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2026-25079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57.200000000000003pt;margin-top:796.85000000000002pt;width:56.899999999999999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2026-25079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3920490</wp:posOffset>
              </wp:positionH>
              <wp:positionV relativeFrom="page">
                <wp:posOffset>127635</wp:posOffset>
              </wp:positionV>
              <wp:extent cx="73025" cy="9144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69999999999999pt;margin-top:10.050000000000001pt;width:5.75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241300</wp:posOffset>
              </wp:positionV>
              <wp:extent cx="73025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09.19999999999999pt;margin-top:19.pt;width:5.75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241300</wp:posOffset>
              </wp:positionV>
              <wp:extent cx="73025" cy="12827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19999999999999pt;margin-top:19.pt;width:5.75pt;height:10.1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241300</wp:posOffset>
              </wp:positionV>
              <wp:extent cx="73025" cy="12827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309.19999999999999pt;margin-top:19.pt;width:5.75pt;height:10.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5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5)"/>
    <w:basedOn w:val="Normal"/>
    <w:link w:val="CharStyle19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png"/><Relationship Id="rId14" Type="http://schemas.openxmlformats.org/officeDocument/2006/relationships/image" Target="media/image2.png" TargetMode="Externa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/Relationships>
</file>