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15950"/>
                    </a:xfrm>
                    <a:prstGeom prst="rect"/>
                  </pic:spPr>
                </pic:pic>
              </a:graphicData>
            </a:graphic>
          </wp:inline>
        </w:drawing>
      </w: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300" w:right="0" w:firstLine="580"/>
        <w:jc w:val="left"/>
      </w:pPr>
      <w:r>
        <w:rPr>
          <w:rStyle w:val="CharStyle6"/>
        </w:rPr>
        <w:t xml:space="preserve">г. Нижний Новгород, 603000 тел. (831) 431-73-73, (831) 431-73-83 </w:t>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0"/>
        </w:rPr>
        <w:t>2</w:t>
      </w:r>
      <w:r>
        <w:fldChar w:fldCharType="begin"/>
      </w:r>
      <w:r>
        <w:rPr/>
        <w:instrText> HYPERLINK "file://f207ca94-a13c-4ba0-b72d-f018c9eed8f1/" </w:instrText>
      </w:r>
      <w:r>
        <w:fldChar w:fldCharType="separate"/>
      </w:r>
      <w:r>
        <w:rPr>
          <w:rStyle w:val="CharStyle10"/>
        </w:rPr>
        <w:t>5.05.2026</w:t>
      </w:r>
      <w:r>
        <w:rPr>
          <w:rStyle w:val="CharStyle10"/>
          <w:u w:val="none"/>
        </w:rPr>
        <w:tab/>
      </w:r>
      <w:r>
        <w:fldChar w:fldCharType="end"/>
      </w:r>
      <w:r>
        <w:rPr>
          <w:rStyle w:val="CharStyle10"/>
          <w:u w:val="none"/>
        </w:rPr>
        <w:t xml:space="preserve">№ </w:t>
      </w:r>
      <w:r>
        <w:rPr>
          <w:rStyle w:val="CharStyle10"/>
        </w:rPr>
        <w:t>ИБ/10439/2</w:t>
      </w:r>
      <w:r>
        <w:rPr>
          <w:rStyle w:val="CharStyle10"/>
          <w:u w:val="none"/>
        </w:rPr>
        <w:t>6</w:t>
      </w:r>
      <w:bookmarkEnd w:id="0"/>
    </w:p>
    <w:p>
      <w:pPr>
        <w:pStyle w:val="Style12"/>
        <w:keepNext w:val="0"/>
        <w:keepLines w:val="0"/>
        <w:widowControl w:val="0"/>
        <w:shd w:val="clear" w:color="auto" w:fill="auto"/>
        <w:bidi w:val="0"/>
        <w:spacing w:before="0" w:after="0" w:line="240" w:lineRule="auto"/>
        <w:ind w:left="0" w:right="0" w:firstLine="0"/>
        <w:jc w:val="left"/>
        <w:rPr>
          <w:sz w:val="19"/>
          <w:szCs w:val="19"/>
        </w:rPr>
      </w:pPr>
      <w:r>
        <w:rPr>
          <w:rStyle w:val="CharStyle13"/>
          <w:rFonts w:ascii="Times New Roman" w:eastAsia="Times New Roman" w:hAnsi="Times New Roman" w:cs="Times New Roman"/>
          <w:color w:val="45609D"/>
          <w:sz w:val="19"/>
          <w:szCs w:val="19"/>
        </w:rPr>
        <w:t xml:space="preserve">На №  от</w:t>
      </w:r>
    </w:p>
    <w:p>
      <w:pPr>
        <w:widowControl w:val="0"/>
        <w:jc w:val="center"/>
        <w:rPr>
          <w:sz w:val="2"/>
          <w:szCs w:val="2"/>
        </w:rPr>
      </w:pPr>
      <w:r>
        <w:drawing>
          <wp:inline>
            <wp:extent cx="2597150" cy="17653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76530"/>
                    </a:xfrm>
                    <a:prstGeom prst="rect"/>
                  </pic:spPr>
                </pic:pic>
              </a:graphicData>
            </a:graphic>
          </wp:inline>
        </w:drawing>
      </w:r>
    </w:p>
    <w:p>
      <w:pPr>
        <w:pStyle w:val="Style15"/>
        <w:keepNext w:val="0"/>
        <w:keepLines w:val="0"/>
        <w:widowControl w:val="0"/>
        <w:shd w:val="clear" w:color="auto" w:fill="auto"/>
        <w:bidi w:val="0"/>
        <w:spacing w:before="0" w:after="260" w:line="240" w:lineRule="auto"/>
        <w:ind w:left="0" w:right="0" w:firstLine="0"/>
        <w:jc w:val="left"/>
      </w:pPr>
      <w:r>
        <w:rPr>
          <w:rStyle w:val="CharStyle16"/>
        </w:rPr>
        <w:t xml:space="preserve">ООО "Фабрикант" </w:t>
      </w:r>
      <w:r>
        <w:fldChar w:fldCharType="begin"/>
      </w:r>
      <w:r>
        <w:rPr/>
        <w:instrText> HYPERLINK "mailto:info@fabrikant.ru" </w:instrText>
      </w:r>
      <w:r>
        <w:fldChar w:fldCharType="separate"/>
      </w:r>
      <w:r>
        <w:rPr>
          <w:rStyle w:val="CharStyle16"/>
          <w:lang w:val="en-US" w:eastAsia="en-US"/>
        </w:rPr>
        <w:t>info@fabrikant.ru</w:t>
      </w:r>
      <w:r>
        <w:fldChar w:fldCharType="end"/>
      </w:r>
    </w:p>
    <w:p>
      <w:pPr>
        <w:pStyle w:val="Style15"/>
        <w:keepNext w:val="0"/>
        <w:keepLines w:val="0"/>
        <w:widowControl w:val="0"/>
        <w:shd w:val="clear" w:color="auto" w:fill="auto"/>
        <w:bidi w:val="0"/>
        <w:spacing w:before="0" w:after="260" w:line="240" w:lineRule="auto"/>
        <w:ind w:left="0" w:right="0" w:firstLine="0"/>
        <w:jc w:val="left"/>
      </w:pPr>
      <w:r>
        <w:rPr>
          <w:rStyle w:val="CharStyle16"/>
        </w:rPr>
        <w:t xml:space="preserve">ГБУЗ НО "ГКБ №5" </w:t>
      </w:r>
      <w:r>
        <w:fldChar w:fldCharType="begin"/>
      </w:r>
      <w:r>
        <w:rPr/>
        <w:instrText> HYPERLINK "mailto:oks.gkb5@yandex.ru" </w:instrText>
      </w:r>
      <w:r>
        <w:fldChar w:fldCharType="separate"/>
      </w:r>
      <w:r>
        <w:rPr>
          <w:rStyle w:val="CharStyle16"/>
          <w:lang w:val="en-US" w:eastAsia="en-US"/>
        </w:rPr>
        <w:t>oks.gkb5@yandex.ru</w:t>
      </w:r>
      <w:r>
        <w:fldChar w:fldCharType="end"/>
      </w:r>
      <w:r>
        <w:rPr>
          <w:rStyle w:val="CharStyle16"/>
          <w:lang w:val="en-US" w:eastAsia="en-US"/>
        </w:rPr>
        <w:t xml:space="preserve">, </w:t>
      </w:r>
      <w:r>
        <w:fldChar w:fldCharType="begin"/>
      </w:r>
      <w:r>
        <w:rPr/>
        <w:instrText> HYPERLINK "mailto:gkb5_nn@mail.52gov.ru" </w:instrText>
      </w:r>
      <w:r>
        <w:fldChar w:fldCharType="separate"/>
      </w:r>
      <w:r>
        <w:rPr>
          <w:rStyle w:val="CharStyle16"/>
          <w:lang w:val="en-US" w:eastAsia="en-US"/>
        </w:rPr>
        <w:t>gkb5_nn@mail.52gov.ru</w:t>
      </w:r>
      <w:r>
        <w:fldChar w:fldCharType="end"/>
      </w:r>
    </w:p>
    <w:p>
      <w:pPr>
        <w:pStyle w:val="Style15"/>
        <w:keepNext w:val="0"/>
        <w:keepLines w:val="0"/>
        <w:widowControl w:val="0"/>
        <w:shd w:val="clear" w:color="auto" w:fill="auto"/>
        <w:bidi w:val="0"/>
        <w:spacing w:before="0" w:after="260" w:line="240" w:lineRule="auto"/>
        <w:ind w:left="0" w:right="0" w:firstLine="0"/>
        <w:jc w:val="left"/>
      </w:pPr>
      <w:r>
        <w:rPr>
          <w:rStyle w:val="CharStyle16"/>
        </w:rPr>
        <w:t xml:space="preserve">ГКУ НО «Центр размещение заказа Нижегородской области» </w:t>
      </w:r>
      <w:r>
        <w:fldChar w:fldCharType="begin"/>
      </w:r>
      <w:r>
        <w:rPr/>
        <w:instrText> HYPERLINK "mailto:crzno@mail.ru" </w:instrText>
      </w:r>
      <w:r>
        <w:fldChar w:fldCharType="separate"/>
      </w:r>
      <w:r>
        <w:rPr>
          <w:rStyle w:val="CharStyle16"/>
          <w:lang w:val="en-US" w:eastAsia="en-US"/>
        </w:rPr>
        <w:t>crzno@mail.ru</w:t>
      </w:r>
      <w:r>
        <w:fldChar w:fldCharType="end"/>
      </w:r>
      <w:r>
        <w:rPr>
          <w:rStyle w:val="CharStyle16"/>
          <w:lang w:val="en-US" w:eastAsia="en-US"/>
        </w:rPr>
        <w:t xml:space="preserve">, </w:t>
      </w:r>
      <w:r>
        <w:fldChar w:fldCharType="begin"/>
      </w:r>
      <w:r>
        <w:rPr/>
        <w:instrText> HYPERLINK "mailto:koe@konkurs.kreml.nnov.ru" </w:instrText>
      </w:r>
      <w:r>
        <w:fldChar w:fldCharType="separate"/>
      </w:r>
      <w:r>
        <w:rPr>
          <w:rStyle w:val="CharStyle16"/>
          <w:lang w:val="en-US" w:eastAsia="en-US"/>
        </w:rPr>
        <w:t>koe@konkurs.kreml.nnov.ru</w:t>
      </w:r>
      <w:r>
        <w:fldChar w:fldCharType="end"/>
      </w:r>
    </w:p>
    <w:p>
      <w:pPr>
        <w:pStyle w:val="Style15"/>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9" w:right="1477" w:bottom="1395" w:left="1135" w:header="0" w:footer="3" w:gutter="0"/>
          <w:pgNumType w:start="1"/>
          <w:cols w:num="2" w:space="901"/>
          <w:noEndnote/>
          <w:titlePg/>
          <w:rtlGutter w:val="0"/>
          <w:docGrid w:linePitch="360"/>
        </w:sectPr>
      </w:pPr>
      <w:r>
        <w:rPr>
          <w:rStyle w:val="CharStyle16"/>
        </w:rPr>
        <w:t xml:space="preserve">ООО «КВАНТ» </w:t>
      </w:r>
      <w:r>
        <w:fldChar w:fldCharType="begin"/>
      </w:r>
      <w:r>
        <w:rPr/>
        <w:instrText> HYPERLINK "mailto:projects@kvantcenter.ru" </w:instrText>
      </w:r>
      <w:r>
        <w:fldChar w:fldCharType="separate"/>
      </w:r>
      <w:r>
        <w:rPr>
          <w:rStyle w:val="CharStyle16"/>
          <w:lang w:val="en-US" w:eastAsia="en-US"/>
        </w:rPr>
        <w:t>projects@kvantcenter.ru</w:t>
      </w:r>
      <w:r>
        <w:fldChar w:fldCharType="end"/>
      </w:r>
    </w:p>
    <w:p>
      <w:pPr>
        <w:widowControl w:val="0"/>
        <w:spacing w:line="240" w:lineRule="exact"/>
        <w:rPr>
          <w:sz w:val="19"/>
          <w:szCs w:val="19"/>
        </w:rPr>
      </w:pPr>
    </w:p>
    <w:p>
      <w:pPr>
        <w:widowControl w:val="0"/>
        <w:spacing w:before="103" w:after="10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5" w:right="0" w:bottom="859" w:left="0" w:header="0" w:footer="3" w:gutter="0"/>
          <w:cols w:space="720"/>
          <w:noEndnote/>
          <w:rtlGutter w:val="0"/>
          <w:docGrid w:linePitch="360"/>
        </w:sectPr>
      </w:pPr>
    </w:p>
    <w:p>
      <w:pPr>
        <w:pStyle w:val="Style15"/>
        <w:keepNext w:val="0"/>
        <w:keepLines w:val="0"/>
        <w:widowControl w:val="0"/>
        <w:shd w:val="clear" w:color="auto" w:fill="auto"/>
        <w:bidi w:val="0"/>
        <w:spacing w:before="0" w:after="28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571500</wp:posOffset>
                </wp:positionV>
                <wp:extent cx="1246505" cy="243840"/>
                <wp:wrapSquare wrapText="right"/>
                <wp:docPr id="9" name="Shape 9"/>
                <a:graphic xmlns:a="http://schemas.openxmlformats.org/drawingml/2006/main">
                  <a:graphicData uri="http://schemas.microsoft.com/office/word/2010/wordprocessingShape">
                    <wps:wsp>
                      <wps:cNvSpPr txBox="1"/>
                      <wps:spPr>
                        <a:xfrm>
                          <a:ext cx="1246505"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20 мая 2026 года</w:t>
                            </w:r>
                          </w:p>
                        </w:txbxContent>
                      </wps:txbx>
                      <wps:bodyPr wrap="none" lIns="0" tIns="0" rIns="0" bIns="0">
                        <a:noAutoFit/>
                      </wps:bodyPr>
                    </wps:wsp>
                  </a:graphicData>
                </a:graphic>
              </wp:anchor>
            </w:drawing>
          </mc:Choice>
          <mc:Fallback>
            <w:pict>
              <v:shape id="_x0000_s1035" type="#_x0000_t202" style="position:absolute;margin-left:55.550000000000004pt;margin-top:45.pt;width:98.150000000000006pt;height:19.199999999999999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20 мая 2026 года</w:t>
                      </w:r>
                    </w:p>
                  </w:txbxContent>
                </v:textbox>
                <w10:wrap type="square" side="right" anchorx="page"/>
              </v:shape>
            </w:pict>
          </mc:Fallback>
        </mc:AlternateContent>
      </w:r>
      <w:r>
        <w:rPr>
          <w:rStyle w:val="CharStyle16"/>
          <w:b/>
          <w:bCs/>
        </w:rPr>
        <w:t>РЕШЕНИЕ</w:t>
        <w:br/>
        <w:t>№ 052/06/105-1226/2026</w:t>
      </w:r>
    </w:p>
    <w:p>
      <w:pPr>
        <w:pStyle w:val="Style15"/>
        <w:keepNext w:val="0"/>
        <w:keepLines w:val="0"/>
        <w:widowControl w:val="0"/>
        <w:shd w:val="clear" w:color="auto" w:fill="auto"/>
        <w:bidi w:val="0"/>
        <w:spacing w:before="0" w:after="280" w:line="240" w:lineRule="auto"/>
        <w:ind w:left="0" w:right="0" w:firstLine="0"/>
        <w:jc w:val="right"/>
      </w:pPr>
      <w:r>
        <w:rPr>
          <w:rStyle w:val="CharStyle16"/>
        </w:rPr>
        <w:t>город Нижний Новгород</w:t>
      </w:r>
    </w:p>
    <w:p>
      <w:pPr>
        <w:pStyle w:val="Style15"/>
        <w:keepNext w:val="0"/>
        <w:keepLines w:val="0"/>
        <w:widowControl w:val="0"/>
        <w:shd w:val="clear" w:color="auto" w:fill="auto"/>
        <w:bidi w:val="0"/>
        <w:spacing w:before="0" w:after="360" w:line="240" w:lineRule="auto"/>
        <w:ind w:left="0" w:right="0" w:firstLine="720"/>
        <w:jc w:val="both"/>
      </w:pPr>
      <w:r>
        <w:rPr>
          <w:rStyle w:val="CharStyle16"/>
        </w:rPr>
        <w:t>Комиссия Управления Федеральной антимонопольной службы по Нижегородской области по контролю в сфере закупок в составе:</w:t>
      </w:r>
    </w:p>
    <w:tbl>
      <w:tblPr>
        <w:tblOverlap w:val="never"/>
        <w:jc w:val="center"/>
        <w:tblLayout w:type="fixed"/>
      </w:tblPr>
      <w:tblGrid>
        <w:gridCol w:w="2213"/>
        <w:gridCol w:w="8026"/>
      </w:tblGrid>
      <w:tr>
        <w:trPr>
          <w:trHeight w:val="1224"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rStyle w:val="CharStyle19"/>
              </w:rPr>
              <w:t>- Баранова И.В.</w:t>
            </w:r>
          </w:p>
          <w:p>
            <w:pPr>
              <w:pStyle w:val="Style18"/>
              <w:keepNext w:val="0"/>
              <w:keepLines w:val="0"/>
              <w:widowControl w:val="0"/>
              <w:shd w:val="clear" w:color="auto" w:fill="auto"/>
              <w:bidi w:val="0"/>
              <w:spacing w:before="0" w:after="0" w:line="240" w:lineRule="auto"/>
              <w:ind w:left="0" w:right="0" w:firstLine="0"/>
              <w:jc w:val="left"/>
            </w:pPr>
            <w:r>
              <w:rPr>
                <w:rStyle w:val="CharStyle19"/>
              </w:rPr>
              <w:t>- Королевой И.А.</w:t>
            </w:r>
          </w:p>
          <w:p>
            <w:pPr>
              <w:pStyle w:val="Style18"/>
              <w:keepNext w:val="0"/>
              <w:keepLines w:val="0"/>
              <w:widowControl w:val="0"/>
              <w:shd w:val="clear" w:color="auto" w:fill="auto"/>
              <w:bidi w:val="0"/>
              <w:spacing w:before="0" w:after="0" w:line="240" w:lineRule="auto"/>
              <w:ind w:left="0" w:right="0" w:firstLine="0"/>
              <w:jc w:val="left"/>
            </w:pPr>
            <w:r>
              <w:rPr>
                <w:rStyle w:val="CharStyle19"/>
              </w:rPr>
              <w:t>- Лебедевой Ю.К.</w:t>
            </w:r>
          </w:p>
        </w:tc>
        <w:tc>
          <w:tcPr>
            <w:tcBorders/>
            <w:shd w:val="clear" w:color="auto" w:fill="auto"/>
            <w:vAlign w:val="top"/>
          </w:tcPr>
          <w:p>
            <w:pPr>
              <w:pStyle w:val="Style18"/>
              <w:keepNext w:val="0"/>
              <w:keepLines w:val="0"/>
              <w:widowControl w:val="0"/>
              <w:numPr>
                <w:ilvl w:val="0"/>
                <w:numId w:val="1"/>
              </w:numPr>
              <w:shd w:val="clear" w:color="auto" w:fill="auto"/>
              <w:tabs>
                <w:tab w:pos="343" w:val="left"/>
              </w:tabs>
              <w:bidi w:val="0"/>
              <w:spacing w:before="0" w:after="0" w:line="240" w:lineRule="auto"/>
              <w:ind w:left="0" w:right="0" w:firstLine="180"/>
              <w:jc w:val="left"/>
            </w:pPr>
            <w:r>
              <w:rPr>
                <w:rStyle w:val="CharStyle19"/>
              </w:rPr>
              <w:t>председателя комиссии, заместителя руководителя Управления,</w:t>
            </w:r>
          </w:p>
          <w:p>
            <w:pPr>
              <w:pStyle w:val="Style18"/>
              <w:keepNext w:val="0"/>
              <w:keepLines w:val="0"/>
              <w:widowControl w:val="0"/>
              <w:numPr>
                <w:ilvl w:val="0"/>
                <w:numId w:val="1"/>
              </w:numPr>
              <w:shd w:val="clear" w:color="auto" w:fill="auto"/>
              <w:tabs>
                <w:tab w:pos="343" w:val="left"/>
              </w:tabs>
              <w:bidi w:val="0"/>
              <w:spacing w:before="0" w:after="0" w:line="240" w:lineRule="auto"/>
              <w:ind w:left="0" w:right="0" w:firstLine="180"/>
              <w:jc w:val="left"/>
            </w:pPr>
            <w:r>
              <w:rPr>
                <w:rStyle w:val="CharStyle19"/>
              </w:rPr>
              <w:t>члена комиссии, начальника отдела контроля торгов,</w:t>
            </w:r>
          </w:p>
          <w:p>
            <w:pPr>
              <w:pStyle w:val="Style18"/>
              <w:keepNext w:val="0"/>
              <w:keepLines w:val="0"/>
              <w:widowControl w:val="0"/>
              <w:numPr>
                <w:ilvl w:val="0"/>
                <w:numId w:val="1"/>
              </w:numPr>
              <w:shd w:val="clear" w:color="auto" w:fill="auto"/>
              <w:tabs>
                <w:tab w:pos="343" w:val="left"/>
              </w:tabs>
              <w:bidi w:val="0"/>
              <w:spacing w:before="0" w:after="0" w:line="240" w:lineRule="auto"/>
              <w:ind w:left="340" w:right="0" w:hanging="160"/>
              <w:jc w:val="left"/>
            </w:pPr>
            <w:r>
              <w:rPr>
                <w:rStyle w:val="CharStyle19"/>
              </w:rPr>
              <w:t>члена комиссии, специалиста-эксперта отдела контроля государственных и муниципальных закупок,</w:t>
            </w:r>
          </w:p>
        </w:tc>
      </w:tr>
    </w:tbl>
    <w:p>
      <w:pPr>
        <w:widowControl w:val="0"/>
        <w:spacing w:after="279" w:line="1" w:lineRule="exact"/>
      </w:pPr>
    </w:p>
    <w:p>
      <w:pPr>
        <w:pStyle w:val="Style15"/>
        <w:keepNext w:val="0"/>
        <w:keepLines w:val="0"/>
        <w:widowControl w:val="0"/>
        <w:shd w:val="clear" w:color="auto" w:fill="auto"/>
        <w:bidi w:val="0"/>
        <w:spacing w:before="0" w:after="0" w:line="240" w:lineRule="auto"/>
        <w:ind w:left="0" w:right="0" w:firstLine="0"/>
        <w:jc w:val="both"/>
      </w:pPr>
      <w:r>
        <w:rPr>
          <w:rStyle w:val="CharStyle16"/>
        </w:rPr>
        <w:t>при участии посредством видео-конференц-связи:</w:t>
      </w:r>
    </w:p>
    <w:p>
      <w:pPr>
        <w:pStyle w:val="Style15"/>
        <w:keepNext w:val="0"/>
        <w:keepLines w:val="0"/>
        <w:widowControl w:val="0"/>
        <w:numPr>
          <w:ilvl w:val="0"/>
          <w:numId w:val="3"/>
        </w:numPr>
        <w:shd w:val="clear" w:color="auto" w:fill="auto"/>
        <w:tabs>
          <w:tab w:pos="286" w:val="left"/>
        </w:tabs>
        <w:bidi w:val="0"/>
        <w:spacing w:before="0" w:after="0" w:line="240" w:lineRule="auto"/>
        <w:ind w:left="2560" w:right="0" w:hanging="2560"/>
        <w:jc w:val="both"/>
      </w:pPr>
      <w:r>
        <w:rPr>
          <w:rStyle w:val="CharStyle16"/>
        </w:rPr>
        <w:t>Лихолетова М.Ю. - представителя ООО «КВАНТ» по доверенности от 18.05.2026 №5-2026;</w:t>
      </w:r>
    </w:p>
    <w:p>
      <w:pPr>
        <w:pStyle w:val="Style15"/>
        <w:keepNext w:val="0"/>
        <w:keepLines w:val="0"/>
        <w:widowControl w:val="0"/>
        <w:numPr>
          <w:ilvl w:val="0"/>
          <w:numId w:val="3"/>
        </w:numPr>
        <w:shd w:val="clear" w:color="auto" w:fill="auto"/>
        <w:tabs>
          <w:tab w:pos="286" w:val="left"/>
        </w:tabs>
        <w:bidi w:val="0"/>
        <w:spacing w:before="0" w:after="0" w:line="240" w:lineRule="auto"/>
        <w:ind w:left="2560" w:right="0" w:hanging="2560"/>
        <w:jc w:val="both"/>
      </w:pPr>
      <w:r>
        <w:rPr>
          <w:rStyle w:val="CharStyle16"/>
        </w:rPr>
        <w:t>Балуковой О.О. - представителя ГБУЗ НО "ГКБ №5" по доверенности от 18.05.2026 №б/н;</w:t>
      </w:r>
    </w:p>
    <w:p>
      <w:pPr>
        <w:pStyle w:val="Style15"/>
        <w:keepNext w:val="0"/>
        <w:keepLines w:val="0"/>
        <w:widowControl w:val="0"/>
        <w:numPr>
          <w:ilvl w:val="0"/>
          <w:numId w:val="3"/>
        </w:numPr>
        <w:shd w:val="clear" w:color="auto" w:fill="auto"/>
        <w:tabs>
          <w:tab w:pos="286" w:val="left"/>
        </w:tabs>
        <w:bidi w:val="0"/>
        <w:spacing w:before="0" w:after="280" w:line="240" w:lineRule="auto"/>
        <w:ind w:left="2560" w:right="0" w:hanging="2560"/>
        <w:jc w:val="both"/>
      </w:pPr>
      <w:r>
        <w:rPr>
          <w:rStyle w:val="CharStyle16"/>
        </w:rPr>
        <w:t>Суминой С.Ю. - представителя ГКУ НО «ЦРЗ НО» по доверенности от 26.11.2025 №7,</w:t>
      </w:r>
    </w:p>
    <w:p>
      <w:pPr>
        <w:pStyle w:val="Style15"/>
        <w:keepNext w:val="0"/>
        <w:keepLines w:val="0"/>
        <w:widowControl w:val="0"/>
        <w:shd w:val="clear" w:color="auto" w:fill="auto"/>
        <w:bidi w:val="0"/>
        <w:spacing w:before="0" w:after="280" w:line="240" w:lineRule="auto"/>
        <w:ind w:left="0" w:right="0" w:firstLine="0"/>
        <w:jc w:val="both"/>
      </w:pPr>
      <w:r>
        <w:rPr>
          <w:rStyle w:val="CharStyle16"/>
        </w:rPr>
        <w:t>рассмотрев посредством видео-конференц-связи жалобу общества с ограниченной ответственностью «КВАНТ» (далее также – ООО «КВАНТ», заявитель) о нарушении Государственным бюджетным учреждением здравоохранения Нижегородской области «Городская клиническая больница № 5 Нижегородского района города Нижнего Новгорода» (далее – ГБУЗ НО "ГКБ №5", Заказчик) требований законодательства</w:t>
      </w:r>
    </w:p>
    <w:p>
      <w:pPr>
        <w:widowControl w:val="0"/>
        <w:spacing w:line="1" w:lineRule="exact"/>
      </w:pPr>
      <w:r>
        <w:drawing>
          <wp:anchor distT="38100" distB="0" distL="0" distR="0" simplePos="0" relativeHeight="125829380" behindDoc="0" locked="0" layoutInCell="1" allowOverlap="1">
            <wp:simplePos x="0" y="0"/>
            <wp:positionH relativeFrom="page">
              <wp:posOffset>717550</wp:posOffset>
            </wp:positionH>
            <wp:positionV relativeFrom="paragraph">
              <wp:posOffset>38100</wp:posOffset>
            </wp:positionV>
            <wp:extent cx="1298575" cy="41465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1298575" cy="414655"/>
                    </a:xfrm>
                    <a:prstGeom prst="rect"/>
                  </pic:spPr>
                </pic:pic>
              </a:graphicData>
            </a:graphic>
          </wp:anchor>
        </w:drawing>
      </w:r>
    </w:p>
    <w:p>
      <w:pPr>
        <w:pStyle w:val="Style15"/>
        <w:keepNext w:val="0"/>
        <w:keepLines w:val="0"/>
        <w:widowControl w:val="0"/>
        <w:shd w:val="clear" w:color="auto" w:fill="auto"/>
        <w:bidi w:val="0"/>
        <w:spacing w:before="0" w:after="260" w:line="240" w:lineRule="auto"/>
        <w:ind w:left="0" w:right="0" w:firstLine="0"/>
        <w:jc w:val="both"/>
      </w:pPr>
      <w:r>
        <w:rPr>
          <w:rStyle w:val="CharStyle16"/>
        </w:rPr>
        <w:t xml:space="preserve">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«Оказание услуг по ремонту системы ангиографической </w:t>
      </w:r>
      <w:r>
        <w:rPr>
          <w:rStyle w:val="CharStyle16"/>
          <w:lang w:val="en-US" w:eastAsia="en-US"/>
        </w:rPr>
        <w:t xml:space="preserve">Azurion 3 M15 </w:t>
      </w:r>
      <w:r>
        <w:rPr>
          <w:rStyle w:val="CharStyle16"/>
        </w:rPr>
        <w:t xml:space="preserve">с заменой запасных частей», номер извещения </w:t>
      </w:r>
      <w:r>
        <w:rPr>
          <w:rStyle w:val="CharStyle16"/>
          <w:lang w:val="en-US" w:eastAsia="en-US"/>
        </w:rPr>
        <w:t>0832200006626000354,</w:t>
      </w:r>
    </w:p>
    <w:p>
      <w:pPr>
        <w:pStyle w:val="Style15"/>
        <w:keepNext w:val="0"/>
        <w:keepLines w:val="0"/>
        <w:widowControl w:val="0"/>
        <w:shd w:val="clear" w:color="auto" w:fill="auto"/>
        <w:bidi w:val="0"/>
        <w:spacing w:before="0" w:after="340" w:line="240" w:lineRule="auto"/>
        <w:ind w:left="0" w:right="0" w:firstLine="0"/>
        <w:jc w:val="center"/>
      </w:pPr>
      <w:r>
        <w:rPr>
          <w:rStyle w:val="CharStyle16"/>
          <w:b/>
          <w:bCs/>
        </w:rPr>
        <w:t>установила:</w:t>
      </w:r>
    </w:p>
    <w:p>
      <w:pPr>
        <w:pStyle w:val="Style15"/>
        <w:keepNext w:val="0"/>
        <w:keepLines w:val="0"/>
        <w:widowControl w:val="0"/>
        <w:shd w:val="clear" w:color="auto" w:fill="auto"/>
        <w:bidi w:val="0"/>
        <w:spacing w:before="0" w:after="0" w:line="240" w:lineRule="auto"/>
        <w:ind w:left="0" w:right="0" w:firstLine="780"/>
        <w:jc w:val="both"/>
      </w:pPr>
      <w:r>
        <w:rPr>
          <w:rStyle w:val="CharStyle16"/>
        </w:rPr>
        <w:t xml:space="preserve">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 «Оказание услуг по ремонту системы ангиографической </w:t>
      </w:r>
      <w:r>
        <w:rPr>
          <w:rStyle w:val="CharStyle16"/>
          <w:lang w:val="en-US" w:eastAsia="en-US"/>
        </w:rPr>
        <w:t xml:space="preserve">Azurion 3 M15 </w:t>
      </w:r>
      <w:r>
        <w:rPr>
          <w:rStyle w:val="CharStyle16"/>
        </w:rPr>
        <w:t xml:space="preserve">с заменой запасных частей», номер извещения </w:t>
      </w:r>
      <w:r>
        <w:rPr>
          <w:rStyle w:val="CharStyle16"/>
          <w:lang w:val="en-US" w:eastAsia="en-US"/>
        </w:rPr>
        <w:t>0832200006626000354.</w:t>
      </w:r>
    </w:p>
    <w:p>
      <w:pPr>
        <w:pStyle w:val="Style15"/>
        <w:keepNext w:val="0"/>
        <w:keepLines w:val="0"/>
        <w:widowControl w:val="0"/>
        <w:shd w:val="clear" w:color="auto" w:fill="auto"/>
        <w:bidi w:val="0"/>
        <w:spacing w:before="0" w:after="0" w:line="240" w:lineRule="auto"/>
        <w:ind w:left="0" w:right="0" w:firstLine="780"/>
        <w:jc w:val="both"/>
      </w:pPr>
      <w:r>
        <w:rPr>
          <w:rStyle w:val="CharStyle16"/>
        </w:rPr>
        <w:t xml:space="preserve">По мнению заявителя, действия заказчика не соответствуют требованиям положений Федерального закона от </w:t>
      </w:r>
      <w:r>
        <w:rPr>
          <w:rStyle w:val="CharStyle16"/>
          <w:lang w:val="en-US" w:eastAsia="en-US"/>
        </w:rPr>
        <w:t xml:space="preserve">05.04.2013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6"/>
          <w:lang w:val="en-US" w:eastAsia="en-US"/>
        </w:rPr>
        <w:t xml:space="preserve">– </w:t>
      </w:r>
      <w:r>
        <w:rPr>
          <w:rStyle w:val="CharStyle16"/>
        </w:rPr>
        <w:t>Закон о контрактной системе).</w:t>
      </w:r>
    </w:p>
    <w:p>
      <w:pPr>
        <w:pStyle w:val="Style15"/>
        <w:keepNext w:val="0"/>
        <w:keepLines w:val="0"/>
        <w:widowControl w:val="0"/>
        <w:shd w:val="clear" w:color="auto" w:fill="auto"/>
        <w:bidi w:val="0"/>
        <w:spacing w:before="0" w:after="0" w:line="240" w:lineRule="auto"/>
        <w:ind w:left="0" w:right="0" w:firstLine="780"/>
        <w:jc w:val="both"/>
      </w:pPr>
      <w:r>
        <w:rPr>
          <w:rStyle w:val="CharStyle16"/>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6"/>
          <w:lang w:val="en-US" w:eastAsia="en-US"/>
        </w:rPr>
        <w:t xml:space="preserve">15 </w:t>
      </w:r>
      <w:r>
        <w:rPr>
          <w:rStyle w:val="CharStyle16"/>
        </w:rPr>
        <w:t xml:space="preserve">статьи </w:t>
      </w:r>
      <w:r>
        <w:rPr>
          <w:rStyle w:val="CharStyle16"/>
          <w:lang w:val="en-US" w:eastAsia="en-US"/>
        </w:rPr>
        <w:t xml:space="preserve">99 </w:t>
      </w:r>
      <w:r>
        <w:rPr>
          <w:rStyle w:val="CharStyle16"/>
        </w:rPr>
        <w:t>Закона о контрактной системе, пришла к следующим выводам.</w:t>
      </w:r>
    </w:p>
    <w:p>
      <w:pPr>
        <w:pStyle w:val="Style15"/>
        <w:keepNext w:val="0"/>
        <w:keepLines w:val="0"/>
        <w:widowControl w:val="0"/>
        <w:numPr>
          <w:ilvl w:val="0"/>
          <w:numId w:val="5"/>
        </w:numPr>
        <w:shd w:val="clear" w:color="auto" w:fill="auto"/>
        <w:tabs>
          <w:tab w:pos="1162" w:val="left"/>
        </w:tabs>
        <w:bidi w:val="0"/>
        <w:spacing w:before="0" w:after="0" w:line="240" w:lineRule="auto"/>
        <w:ind w:left="0" w:right="0" w:firstLine="780"/>
        <w:jc w:val="both"/>
      </w:pPr>
      <w:r>
        <w:rPr>
          <w:rStyle w:val="CharStyle16"/>
          <w:lang w:val="en-US" w:eastAsia="en-US"/>
        </w:rPr>
        <w:t xml:space="preserve">05.05.2026 </w:t>
      </w:r>
      <w:r>
        <w:rPr>
          <w:rStyle w:val="CharStyle16"/>
        </w:rPr>
        <w:t xml:space="preserve">в единой информационной системе и на сайте оператора электронной площадки </w:t>
      </w:r>
      <w:r>
        <w:rPr>
          <w:rStyle w:val="CharStyle16"/>
          <w:lang w:val="en-US" w:eastAsia="en-US"/>
        </w:rPr>
        <w:t xml:space="preserve">– </w:t>
      </w:r>
      <w:r>
        <w:rPr>
          <w:rStyle w:val="CharStyle16"/>
        </w:rPr>
        <w:t xml:space="preserve">ЭТП «Фабрикант» </w:t>
      </w:r>
      <w:r>
        <w:rPr>
          <w:rStyle w:val="CharStyle16"/>
          <w:lang w:val="en-US" w:eastAsia="en-US"/>
        </w:rPr>
        <w:t xml:space="preserve">– </w:t>
      </w:r>
      <w:r>
        <w:rPr>
          <w:rStyle w:val="CharStyle16"/>
        </w:rPr>
        <w:t xml:space="preserve">размещено извещение по объекту закупки: «Оказание услуг по ремонту системы ангиографической </w:t>
      </w:r>
      <w:r>
        <w:rPr>
          <w:rStyle w:val="CharStyle16"/>
          <w:lang w:val="en-US" w:eastAsia="en-US"/>
        </w:rPr>
        <w:t xml:space="preserve">Azurion 3 M15 </w:t>
      </w:r>
      <w:r>
        <w:rPr>
          <w:rStyle w:val="CharStyle16"/>
        </w:rPr>
        <w:t xml:space="preserve">с заменой запасных частей», номер извещения </w:t>
      </w:r>
      <w:r>
        <w:rPr>
          <w:rStyle w:val="CharStyle16"/>
          <w:lang w:val="en-US" w:eastAsia="en-US"/>
        </w:rPr>
        <w:t>0832200006626000354.</w:t>
      </w:r>
    </w:p>
    <w:p>
      <w:pPr>
        <w:pStyle w:val="Style15"/>
        <w:keepNext w:val="0"/>
        <w:keepLines w:val="0"/>
        <w:widowControl w:val="0"/>
        <w:shd w:val="clear" w:color="auto" w:fill="auto"/>
        <w:bidi w:val="0"/>
        <w:spacing w:before="0" w:after="0" w:line="240" w:lineRule="auto"/>
        <w:ind w:left="0" w:right="0" w:firstLine="780"/>
        <w:jc w:val="both"/>
      </w:pPr>
      <w:r>
        <w:rPr>
          <w:rStyle w:val="CharStyle16"/>
        </w:rPr>
        <w:t xml:space="preserve">Начальная (максимальная) цена контракта </w:t>
      </w:r>
      <w:r>
        <w:rPr>
          <w:rStyle w:val="CharStyle16"/>
          <w:lang w:val="en-US" w:eastAsia="en-US"/>
        </w:rPr>
        <w:t xml:space="preserve">— 34 333 763,67 </w:t>
      </w:r>
      <w:r>
        <w:rPr>
          <w:rStyle w:val="CharStyle16"/>
        </w:rPr>
        <w:t>руб.</w:t>
      </w:r>
    </w:p>
    <w:p>
      <w:pPr>
        <w:pStyle w:val="Style15"/>
        <w:keepNext w:val="0"/>
        <w:keepLines w:val="0"/>
        <w:widowControl w:val="0"/>
        <w:numPr>
          <w:ilvl w:val="0"/>
          <w:numId w:val="5"/>
        </w:numPr>
        <w:shd w:val="clear" w:color="auto" w:fill="auto"/>
        <w:tabs>
          <w:tab w:pos="1162" w:val="left"/>
        </w:tabs>
        <w:bidi w:val="0"/>
        <w:spacing w:before="0" w:after="0" w:line="240" w:lineRule="auto"/>
        <w:ind w:left="0" w:right="0" w:firstLine="780"/>
        <w:jc w:val="both"/>
      </w:pPr>
      <w:r>
        <w:rPr>
          <w:rStyle w:val="CharStyle16"/>
        </w:rPr>
        <w:t>Заявителем в жалобе указано на следующие нарушения требований законодательства о контрактной системе, предъявляемые к содержанию извещения о проведении закупочной процедуры:</w:t>
      </w:r>
    </w:p>
    <w:p>
      <w:pPr>
        <w:pStyle w:val="Style15"/>
        <w:keepNext w:val="0"/>
        <w:keepLines w:val="0"/>
        <w:widowControl w:val="0"/>
        <w:numPr>
          <w:ilvl w:val="0"/>
          <w:numId w:val="5"/>
        </w:numPr>
        <w:shd w:val="clear" w:color="auto" w:fill="auto"/>
        <w:tabs>
          <w:tab w:pos="1223" w:val="left"/>
        </w:tabs>
        <w:bidi w:val="0"/>
        <w:spacing w:before="0" w:after="0" w:line="240" w:lineRule="auto"/>
        <w:ind w:left="0" w:right="0" w:firstLine="780"/>
        <w:jc w:val="both"/>
      </w:pPr>
      <w:r>
        <w:rPr>
          <w:rStyle w:val="CharStyle16"/>
          <w:i/>
          <w:iCs/>
        </w:rPr>
        <w:t xml:space="preserve">Приложении </w:t>
      </w:r>
      <w:r>
        <w:rPr>
          <w:rStyle w:val="CharStyle16"/>
          <w:i/>
          <w:iCs/>
          <w:lang w:val="en-US" w:eastAsia="en-US"/>
        </w:rPr>
        <w:t xml:space="preserve">№ 1 </w:t>
      </w:r>
      <w:r>
        <w:rPr>
          <w:rStyle w:val="CharStyle16"/>
          <w:i/>
          <w:iCs/>
        </w:rPr>
        <w:t xml:space="preserve">к проекту контракта (Техническое задание, раздел </w:t>
      </w:r>
      <w:r>
        <w:rPr>
          <w:rStyle w:val="CharStyle16"/>
          <w:i/>
          <w:iCs/>
          <w:lang w:val="en-US" w:eastAsia="en-US"/>
        </w:rPr>
        <w:t xml:space="preserve">II </w:t>
      </w:r>
      <w:r>
        <w:rPr>
          <w:rStyle w:val="CharStyle16"/>
          <w:i/>
          <w:iCs/>
        </w:rPr>
        <w:t>«Перечень подлежащих замене запасных частей») Заказчик указал конкретные 12</w:t>
        <w:softHyphen/>
      </w:r>
      <w:r>
        <w:rPr>
          <w:rStyle w:val="CharStyle16"/>
          <w:i/>
          <w:iCs/>
          <w:lang w:val="ru-RU" w:eastAsia="ru-RU"/>
        </w:rPr>
      </w:r>
      <w:r>
        <w:rPr>
          <w:rStyle w:val="CharStyle16"/>
          <w:i/>
          <w:iCs/>
        </w:rPr>
        <w:t xml:space="preserve">значные </w:t>
      </w:r>
      <w:r>
        <w:rPr>
          <w:rStyle w:val="CharStyle16"/>
          <w:i/>
          <w:iCs/>
          <w:lang w:val="en-US" w:eastAsia="en-US"/>
        </w:rPr>
        <w:t xml:space="preserve">OEM-коды Philips </w:t>
      </w:r>
      <w:r>
        <w:rPr>
          <w:rStyle w:val="CharStyle16"/>
          <w:i/>
          <w:iCs/>
        </w:rPr>
        <w:t>на три запасные части без возможности предложения функционального и технического эквивалента:</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Цветной монитор </w:t>
      </w:r>
      <w:r>
        <w:rPr>
          <w:rStyle w:val="CharStyle16"/>
          <w:i/>
          <w:iCs/>
          <w:lang w:val="en-US" w:eastAsia="en-US"/>
        </w:rPr>
        <w:t xml:space="preserve">19 </w:t>
      </w:r>
      <w:r>
        <w:rPr>
          <w:rStyle w:val="CharStyle16"/>
          <w:i/>
          <w:iCs/>
        </w:rPr>
        <w:t xml:space="preserve">дюймов </w:t>
      </w:r>
      <w:r>
        <w:rPr>
          <w:rStyle w:val="CharStyle16"/>
          <w:i/>
          <w:iCs/>
          <w:lang w:val="en-US" w:eastAsia="en-US"/>
        </w:rPr>
        <w:t xml:space="preserve">C15S — </w:t>
      </w:r>
      <w:r>
        <w:rPr>
          <w:rStyle w:val="CharStyle16"/>
          <w:i/>
          <w:iCs/>
        </w:rPr>
        <w:t xml:space="preserve">код </w:t>
      </w:r>
      <w:r>
        <w:rPr>
          <w:rStyle w:val="CharStyle16"/>
          <w:i/>
          <w:iCs/>
          <w:lang w:val="en-US" w:eastAsia="en-US"/>
        </w:rPr>
        <w:t>300006525261</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Скобы для фиксации кабеля </w:t>
      </w:r>
      <w:r>
        <w:rPr>
          <w:rStyle w:val="CharStyle16"/>
          <w:i/>
          <w:iCs/>
          <w:lang w:val="en-US" w:eastAsia="en-US"/>
        </w:rPr>
        <w:t xml:space="preserve">DVI — </w:t>
      </w:r>
      <w:r>
        <w:rPr>
          <w:rStyle w:val="CharStyle16"/>
          <w:i/>
          <w:iCs/>
        </w:rPr>
        <w:t xml:space="preserve">код </w:t>
      </w:r>
      <w:r>
        <w:rPr>
          <w:rStyle w:val="CharStyle16"/>
          <w:i/>
          <w:iCs/>
          <w:lang w:val="en-US" w:eastAsia="en-US"/>
        </w:rPr>
        <w:t>459801064291</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Видеоприёмник </w:t>
      </w:r>
      <w:r>
        <w:rPr>
          <w:rStyle w:val="CharStyle16"/>
          <w:i/>
          <w:iCs/>
          <w:lang w:val="en-US" w:eastAsia="en-US"/>
        </w:rPr>
        <w:t xml:space="preserve">DVI </w:t>
      </w:r>
      <w:r>
        <w:rPr>
          <w:rStyle w:val="CharStyle16"/>
          <w:i/>
          <w:iCs/>
        </w:rPr>
        <w:t xml:space="preserve">боковое подключение </w:t>
      </w:r>
      <w:r>
        <w:rPr>
          <w:rStyle w:val="CharStyle16"/>
          <w:i/>
          <w:iCs/>
          <w:lang w:val="en-US" w:eastAsia="en-US"/>
        </w:rPr>
        <w:t xml:space="preserve">(RJ45/DVI) — </w:t>
      </w:r>
      <w:r>
        <w:rPr>
          <w:rStyle w:val="CharStyle16"/>
          <w:i/>
          <w:iCs/>
        </w:rPr>
        <w:t xml:space="preserve">код </w:t>
      </w:r>
      <w:r>
        <w:rPr>
          <w:rStyle w:val="CharStyle16"/>
          <w:i/>
          <w:iCs/>
          <w:lang w:val="en-US" w:eastAsia="en-US"/>
        </w:rPr>
        <w:t>452209022802</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Дополнительно в разделе </w:t>
      </w:r>
      <w:r>
        <w:rPr>
          <w:rStyle w:val="CharStyle16"/>
          <w:i/>
          <w:iCs/>
          <w:lang w:val="en-US" w:eastAsia="en-US"/>
        </w:rPr>
        <w:t xml:space="preserve">IV </w:t>
      </w:r>
      <w:r>
        <w:rPr>
          <w:rStyle w:val="CharStyle16"/>
          <w:i/>
          <w:iCs/>
        </w:rPr>
        <w:t xml:space="preserve">ТЗ (п.п. </w:t>
      </w:r>
      <w:r>
        <w:rPr>
          <w:rStyle w:val="CharStyle16"/>
          <w:i/>
          <w:iCs/>
          <w:lang w:val="en-US" w:eastAsia="en-US"/>
        </w:rPr>
        <w:t xml:space="preserve">4.1–4.4) </w:t>
      </w:r>
      <w:r>
        <w:rPr>
          <w:rStyle w:val="CharStyle16"/>
          <w:i/>
          <w:iCs/>
        </w:rPr>
        <w:t>Заказчик требует использовать только оригинальные запасные части, рекомендованные производителем, и предоставить гарантийный талон именно производителя (изготовителя) на рентгеновскую трубку. Подробное описание функционала спорных запасных частей (согласно самому ТЗ Заказчика)</w:t>
      </w:r>
    </w:p>
    <w:p>
      <w:pPr>
        <w:pStyle w:val="Style15"/>
        <w:keepNext w:val="0"/>
        <w:keepLines w:val="0"/>
        <w:widowControl w:val="0"/>
        <w:shd w:val="clear" w:color="auto" w:fill="auto"/>
        <w:bidi w:val="0"/>
        <w:spacing w:before="0" w:after="300" w:line="240" w:lineRule="auto"/>
        <w:ind w:left="0" w:right="0" w:firstLine="780"/>
        <w:jc w:val="both"/>
      </w:pPr>
      <w:r>
        <w:rPr>
          <w:rStyle w:val="CharStyle16"/>
          <w:i/>
          <w:iCs/>
        </w:rPr>
        <w:t xml:space="preserve">Цветной монитор </w:t>
      </w:r>
      <w:r>
        <w:rPr>
          <w:rStyle w:val="CharStyle16"/>
          <w:i/>
          <w:iCs/>
          <w:lang w:val="en-US" w:eastAsia="en-US"/>
        </w:rPr>
        <w:t xml:space="preserve">19 </w:t>
      </w:r>
      <w:r>
        <w:rPr>
          <w:rStyle w:val="CharStyle16"/>
          <w:i/>
          <w:iCs/>
        </w:rPr>
        <w:t xml:space="preserve">дюймов </w:t>
      </w:r>
      <w:r>
        <w:rPr>
          <w:rStyle w:val="CharStyle16"/>
          <w:i/>
          <w:iCs/>
          <w:lang w:val="en-US" w:eastAsia="en-US"/>
        </w:rPr>
        <w:t xml:space="preserve">C15S </w:t>
      </w:r>
      <w:r>
        <w:rPr>
          <w:rStyle w:val="CharStyle16"/>
          <w:i/>
          <w:iCs/>
        </w:rPr>
        <w:t xml:space="preserve">(код </w:t>
      </w:r>
      <w:r>
        <w:rPr>
          <w:rStyle w:val="CharStyle16"/>
          <w:i/>
          <w:iCs/>
          <w:lang w:val="en-US" w:eastAsia="en-US"/>
        </w:rPr>
        <w:t xml:space="preserve">300006525261) </w:t>
      </w:r>
      <w:r>
        <w:rPr>
          <w:rStyle w:val="CharStyle16"/>
          <w:i/>
          <w:iCs/>
        </w:rPr>
        <w:t>Располагается на</w:t>
      </w:r>
    </w:p>
    <w:p>
      <w:pPr>
        <w:pStyle w:val="Style15"/>
        <w:keepNext w:val="0"/>
        <w:keepLines w:val="0"/>
        <w:widowControl w:val="0"/>
        <w:shd w:val="clear" w:color="auto" w:fill="auto"/>
        <w:bidi w:val="0"/>
        <w:spacing w:before="0" w:after="0" w:line="240" w:lineRule="auto"/>
        <w:ind w:left="0" w:right="0" w:firstLine="0"/>
        <w:jc w:val="both"/>
      </w:pPr>
      <w:r>
        <w:rPr>
          <w:rStyle w:val="CharStyle16"/>
          <w:i/>
          <w:iCs/>
        </w:rPr>
        <w:t xml:space="preserve">мониторной подвеске в операционной комнате. Предназначен исключительно для отображения видеоинформации с дополнительных станций (станция обработки </w:t>
      </w:r>
      <w:r>
        <w:rPr>
          <w:rStyle w:val="CharStyle16"/>
          <w:i/>
          <w:iCs/>
          <w:lang w:val="en-US" w:eastAsia="en-US"/>
        </w:rPr>
        <w:t xml:space="preserve">3D- </w:t>
      </w:r>
      <w:r>
        <w:rPr>
          <w:rStyle w:val="CharStyle16"/>
          <w:i/>
          <w:iCs/>
        </w:rPr>
        <w:t xml:space="preserve">изображений или станция гемодинамики) во время проведения медицинской операции. Это вспомогательный дисплей, который не участвует в генерации рентгеновского излучения, формировании основного изображения и не влияет на диагностические или лечебные функции ангиографической системы </w:t>
      </w:r>
      <w:r>
        <w:rPr>
          <w:rStyle w:val="CharStyle16"/>
          <w:i/>
          <w:iCs/>
          <w:lang w:val="en-US" w:eastAsia="en-US"/>
        </w:rPr>
        <w:t>Azurion 3 M15.</w:t>
      </w:r>
    </w:p>
    <w:p>
      <w:pPr>
        <w:pStyle w:val="Style15"/>
        <w:keepNext w:val="0"/>
        <w:keepLines w:val="0"/>
        <w:widowControl w:val="0"/>
        <w:shd w:val="clear" w:color="auto" w:fill="auto"/>
        <w:bidi w:val="0"/>
        <w:spacing w:before="0" w:after="0" w:line="240" w:lineRule="auto"/>
        <w:ind w:left="0" w:right="0" w:firstLine="760"/>
        <w:jc w:val="both"/>
      </w:pPr>
      <w:r>
        <w:rPr>
          <w:rStyle w:val="CharStyle16"/>
          <w:i/>
          <w:iCs/>
        </w:rPr>
        <w:t xml:space="preserve">Скобы для фиксации кабеля </w:t>
      </w:r>
      <w:r>
        <w:rPr>
          <w:rStyle w:val="CharStyle16"/>
          <w:i/>
          <w:iCs/>
          <w:lang w:val="en-US" w:eastAsia="en-US"/>
        </w:rPr>
        <w:t xml:space="preserve">DVI </w:t>
      </w:r>
      <w:r>
        <w:rPr>
          <w:rStyle w:val="CharStyle16"/>
          <w:i/>
          <w:iCs/>
        </w:rPr>
        <w:t xml:space="preserve">(код </w:t>
      </w:r>
      <w:r>
        <w:rPr>
          <w:rStyle w:val="CharStyle16"/>
          <w:i/>
          <w:iCs/>
          <w:lang w:val="en-US" w:eastAsia="en-US"/>
        </w:rPr>
        <w:t xml:space="preserve">459801064291) </w:t>
      </w:r>
      <w:r>
        <w:rPr>
          <w:rStyle w:val="CharStyle16"/>
          <w:i/>
          <w:iCs/>
        </w:rPr>
        <w:t xml:space="preserve">Представляют собой обычный механический крепёжный комплект (металлическая скоба </w:t>
      </w:r>
      <w:r>
        <w:rPr>
          <w:rStyle w:val="CharStyle16"/>
          <w:i/>
          <w:iCs/>
          <w:lang w:val="en-US" w:eastAsia="en-US"/>
        </w:rPr>
        <w:t xml:space="preserve">+ </w:t>
      </w:r>
      <w:r>
        <w:rPr>
          <w:rStyle w:val="CharStyle16"/>
          <w:i/>
          <w:iCs/>
        </w:rPr>
        <w:t xml:space="preserve">два пластиковых зажима </w:t>
      </w:r>
      <w:r>
        <w:rPr>
          <w:rStyle w:val="CharStyle16"/>
          <w:i/>
          <w:iCs/>
          <w:lang w:val="en-US" w:eastAsia="en-US"/>
        </w:rPr>
        <w:t xml:space="preserve">+ 4 </w:t>
      </w:r>
      <w:r>
        <w:rPr>
          <w:rStyle w:val="CharStyle16"/>
          <w:i/>
          <w:iCs/>
        </w:rPr>
        <w:t xml:space="preserve">болта </w:t>
      </w:r>
      <w:r>
        <w:rPr>
          <w:rStyle w:val="CharStyle16"/>
          <w:i/>
          <w:iCs/>
          <w:lang w:val="en-US" w:eastAsia="en-US"/>
        </w:rPr>
        <w:t xml:space="preserve">+ 4 </w:t>
      </w:r>
      <w:r>
        <w:rPr>
          <w:rStyle w:val="CharStyle16"/>
          <w:i/>
          <w:iCs/>
        </w:rPr>
        <w:t xml:space="preserve">гайки). Функция </w:t>
      </w:r>
      <w:r>
        <w:rPr>
          <w:rStyle w:val="CharStyle16"/>
          <w:i/>
          <w:iCs/>
          <w:lang w:val="en-US" w:eastAsia="en-US"/>
        </w:rPr>
        <w:t xml:space="preserve">— </w:t>
      </w:r>
      <w:r>
        <w:rPr>
          <w:rStyle w:val="CharStyle16"/>
          <w:i/>
          <w:iCs/>
        </w:rPr>
        <w:t xml:space="preserve">чисто пассивная механическая фиксация кабеля </w:t>
      </w:r>
      <w:r>
        <w:rPr>
          <w:rStyle w:val="CharStyle16"/>
          <w:i/>
          <w:iCs/>
          <w:lang w:val="en-US" w:eastAsia="en-US"/>
        </w:rPr>
        <w:t xml:space="preserve">DVI. </w:t>
      </w:r>
      <w:r>
        <w:rPr>
          <w:rStyle w:val="CharStyle16"/>
          <w:i/>
          <w:iCs/>
        </w:rPr>
        <w:t>Это расходный крепёжный элемент, не имеющий никакого отношения к электронике, обработке сигнала или безопасности оборудования.</w:t>
      </w:r>
    </w:p>
    <w:p>
      <w:pPr>
        <w:pStyle w:val="Style15"/>
        <w:keepNext w:val="0"/>
        <w:keepLines w:val="0"/>
        <w:widowControl w:val="0"/>
        <w:shd w:val="clear" w:color="auto" w:fill="auto"/>
        <w:bidi w:val="0"/>
        <w:spacing w:before="0" w:after="0" w:line="240" w:lineRule="auto"/>
        <w:ind w:left="0" w:right="0" w:firstLine="760"/>
        <w:jc w:val="both"/>
      </w:pPr>
      <w:r>
        <w:rPr>
          <w:rStyle w:val="CharStyle16"/>
          <w:i/>
          <w:iCs/>
        </w:rPr>
        <w:t xml:space="preserve">Видеоприёмник </w:t>
      </w:r>
      <w:r>
        <w:rPr>
          <w:rStyle w:val="CharStyle16"/>
          <w:i/>
          <w:iCs/>
          <w:lang w:val="en-US" w:eastAsia="en-US"/>
        </w:rPr>
        <w:t xml:space="preserve">DVI </w:t>
      </w:r>
      <w:r>
        <w:rPr>
          <w:rStyle w:val="CharStyle16"/>
          <w:i/>
          <w:iCs/>
        </w:rPr>
        <w:t xml:space="preserve">боковое подключение </w:t>
      </w:r>
      <w:r>
        <w:rPr>
          <w:rStyle w:val="CharStyle16"/>
          <w:i/>
          <w:iCs/>
          <w:lang w:val="en-US" w:eastAsia="en-US"/>
        </w:rPr>
        <w:t xml:space="preserve">(RJ45/DVI) </w:t>
      </w:r>
      <w:r>
        <w:rPr>
          <w:rStyle w:val="CharStyle16"/>
          <w:i/>
          <w:iCs/>
        </w:rPr>
        <w:t xml:space="preserve">(код </w:t>
      </w:r>
      <w:r>
        <w:rPr>
          <w:rStyle w:val="CharStyle16"/>
          <w:i/>
          <w:iCs/>
          <w:lang w:val="en-US" w:eastAsia="en-US"/>
        </w:rPr>
        <w:t xml:space="preserve">452209022802) </w:t>
      </w:r>
      <w:r>
        <w:rPr>
          <w:rStyle w:val="CharStyle16"/>
          <w:i/>
          <w:iCs/>
        </w:rPr>
        <w:t xml:space="preserve">Модуль приёмника видеосигнала (сторона монитора): вход </w:t>
      </w:r>
      <w:r>
        <w:rPr>
          <w:rStyle w:val="CharStyle16"/>
          <w:i/>
          <w:iCs/>
          <w:lang w:val="en-US" w:eastAsia="en-US"/>
        </w:rPr>
        <w:t xml:space="preserve">RJ-45 → </w:t>
      </w:r>
      <w:r>
        <w:rPr>
          <w:rStyle w:val="CharStyle16"/>
          <w:i/>
          <w:iCs/>
        </w:rPr>
        <w:t xml:space="preserve">выход </w:t>
      </w:r>
      <w:r>
        <w:rPr>
          <w:rStyle w:val="CharStyle16"/>
          <w:i/>
          <w:iCs/>
          <w:lang w:val="en-US" w:eastAsia="en-US"/>
        </w:rPr>
        <w:t xml:space="preserve">DVI. </w:t>
      </w:r>
      <w:r>
        <w:rPr>
          <w:rStyle w:val="CharStyle16"/>
          <w:i/>
          <w:iCs/>
        </w:rPr>
        <w:t>Используется только для передачи видеосигнала от дополнительных станций к монитору. Это стандартный интерфейсный модуль (видеоконвертер), который широко представлен на рынке в виде полностью совместимых аналогов.</w:t>
      </w:r>
    </w:p>
    <w:p>
      <w:pPr>
        <w:pStyle w:val="Style15"/>
        <w:keepNext w:val="0"/>
        <w:keepLines w:val="0"/>
        <w:widowControl w:val="0"/>
        <w:shd w:val="clear" w:color="auto" w:fill="auto"/>
        <w:bidi w:val="0"/>
        <w:spacing w:before="0" w:after="0" w:line="240" w:lineRule="auto"/>
        <w:ind w:left="0" w:right="0" w:firstLine="760"/>
        <w:jc w:val="both"/>
      </w:pPr>
      <w:r>
        <w:rPr>
          <w:rStyle w:val="CharStyle16"/>
          <w:i/>
          <w:iCs/>
        </w:rPr>
        <w:t>Указанные запасные части не являются критически важными узлами ангиографа, не влияют на его основную функциональность, точность диагностики, безопасность пациентов и не требуют уникальных характеристик, которые могут быть обеспечены только оригинальными изделиями с конкретными артикулами</w:t>
      </w:r>
      <w:r>
        <w:rPr>
          <w:rStyle w:val="CharStyle16"/>
        </w:rPr>
        <w:t>».</w:t>
      </w:r>
    </w:p>
    <w:p>
      <w:pPr>
        <w:pStyle w:val="Style15"/>
        <w:keepNext w:val="0"/>
        <w:keepLines w:val="0"/>
        <w:widowControl w:val="0"/>
        <w:shd w:val="clear" w:color="auto" w:fill="auto"/>
        <w:bidi w:val="0"/>
        <w:spacing w:before="0" w:after="0" w:line="240" w:lineRule="auto"/>
        <w:ind w:left="0" w:right="0" w:firstLine="760"/>
        <w:jc w:val="both"/>
      </w:pPr>
      <w:r>
        <w:rPr>
          <w:rStyle w:val="CharStyle16"/>
        </w:rPr>
        <w:t>Проанализировав полученные документы и сведения, Комиссия Нижегородского УФАС России приходит к следующим выводам.</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Согласно статье </w:t>
      </w:r>
      <w:r>
        <w:rPr>
          <w:rStyle w:val="CharStyle16"/>
          <w:lang w:val="en-US" w:eastAsia="en-US"/>
        </w:rPr>
        <w:t xml:space="preserve">8 </w:t>
      </w:r>
      <w:r>
        <w:rPr>
          <w:rStyle w:val="CharStyle16"/>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60"/>
        <w:jc w:val="both"/>
      </w:pPr>
      <w:r>
        <w:rPr>
          <w:rStyle w:val="CharStyle1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5"/>
        <w:keepNext w:val="0"/>
        <w:keepLines w:val="0"/>
        <w:widowControl w:val="0"/>
        <w:shd w:val="clear" w:color="auto" w:fill="auto"/>
        <w:bidi w:val="0"/>
        <w:spacing w:before="0" w:after="0" w:line="240" w:lineRule="auto"/>
        <w:ind w:left="0" w:right="0" w:firstLine="760"/>
        <w:jc w:val="both"/>
      </w:pPr>
      <w:r>
        <w:rPr>
          <w:rStyle w:val="CharStyle1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извещение об осуществлении закупки, если иное не предусмотрено Законом о контрактной, должно содержать следующие электронные документы: описание объекта закупки в соответствии со статьей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0"/>
        <w:jc w:val="both"/>
      </w:pPr>
      <w:r>
        <w:rPr>
          <w:rStyle w:val="CharStyle16"/>
        </w:rPr>
        <w:t>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7"/>
        </w:numPr>
        <w:shd w:val="clear" w:color="auto" w:fill="auto"/>
        <w:tabs>
          <w:tab w:pos="1062" w:val="left"/>
        </w:tabs>
        <w:bidi w:val="0"/>
        <w:spacing w:before="0" w:after="0" w:line="240" w:lineRule="auto"/>
        <w:ind w:left="0" w:right="0" w:firstLine="740"/>
        <w:jc w:val="both"/>
      </w:pPr>
      <w:r>
        <w:rPr>
          <w:rStyle w:val="CharStyle16"/>
        </w:rPr>
        <w:t>сопровождение такого указания словами «или эквивалент»;</w:t>
      </w:r>
    </w:p>
    <w:p>
      <w:pPr>
        <w:pStyle w:val="Style15"/>
        <w:keepNext w:val="0"/>
        <w:keepLines w:val="0"/>
        <w:widowControl w:val="0"/>
        <w:numPr>
          <w:ilvl w:val="0"/>
          <w:numId w:val="7"/>
        </w:numPr>
        <w:shd w:val="clear" w:color="auto" w:fill="auto"/>
        <w:tabs>
          <w:tab w:pos="1076" w:val="left"/>
        </w:tabs>
        <w:bidi w:val="0"/>
        <w:spacing w:before="0" w:after="0" w:line="240" w:lineRule="auto"/>
        <w:ind w:left="0" w:right="0" w:firstLine="740"/>
        <w:jc w:val="both"/>
      </w:pPr>
      <w:r>
        <w:rPr>
          <w:rStyle w:val="CharStyle16"/>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7"/>
        </w:numPr>
        <w:shd w:val="clear" w:color="auto" w:fill="auto"/>
        <w:tabs>
          <w:tab w:pos="1062" w:val="left"/>
        </w:tabs>
        <w:bidi w:val="0"/>
        <w:spacing w:before="0" w:after="0" w:line="240" w:lineRule="auto"/>
        <w:ind w:left="0" w:right="0" w:firstLine="740"/>
        <w:jc w:val="both"/>
      </w:pPr>
      <w:r>
        <w:rPr>
          <w:rStyle w:val="CharStyle16"/>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7"/>
        </w:numPr>
        <w:shd w:val="clear" w:color="auto" w:fill="auto"/>
        <w:tabs>
          <w:tab w:pos="1052" w:val="left"/>
        </w:tabs>
        <w:bidi w:val="0"/>
        <w:spacing w:before="0" w:after="0" w:line="240" w:lineRule="auto"/>
        <w:ind w:left="0" w:right="0" w:firstLine="740"/>
        <w:jc w:val="both"/>
      </w:pPr>
      <w:r>
        <w:rPr>
          <w:rStyle w:val="CharStyle16"/>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Согласно пункту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Закона о контрактной системе документация о закупке в</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соответствии с требованиями, указанными в части </w:t>
      </w:r>
      <w:r>
        <w:rPr>
          <w:rStyle w:val="CharStyle16"/>
          <w:lang w:val="en-US" w:eastAsia="en-US"/>
        </w:rPr>
        <w:t xml:space="preserve">1 </w:t>
      </w:r>
      <w:r>
        <w:rPr>
          <w:rStyle w:val="CharStyle16"/>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80"/>
        <w:jc w:val="both"/>
      </w:pPr>
      <w:r>
        <w:rPr>
          <w:rStyle w:val="CharStyle16"/>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keepNext w:val="0"/>
        <w:keepLines w:val="0"/>
        <w:widowControl w:val="0"/>
        <w:shd w:val="clear" w:color="auto" w:fill="auto"/>
        <w:bidi w:val="0"/>
        <w:spacing w:before="0" w:after="0" w:line="240" w:lineRule="auto"/>
        <w:ind w:left="0" w:right="0" w:firstLine="780"/>
        <w:jc w:val="both"/>
      </w:pPr>
      <w:r>
        <w:rPr>
          <w:rStyle w:val="CharStyle16"/>
        </w:rPr>
        <w:t xml:space="preserve">В соответствии с 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80"/>
        <w:jc w:val="both"/>
      </w:pPr>
      <w:r>
        <w:rPr>
          <w:rStyle w:val="CharStyle16"/>
        </w:rPr>
        <w:t>На заседании Комиссии Управления представитель Заказчика поддержал позицию, изложенную в письменных пояснениях, которых указано следующее:</w:t>
      </w:r>
    </w:p>
    <w:p>
      <w:pPr>
        <w:pStyle w:val="Style15"/>
        <w:keepNext w:val="0"/>
        <w:keepLines w:val="0"/>
        <w:widowControl w:val="0"/>
        <w:shd w:val="clear" w:color="auto" w:fill="auto"/>
        <w:bidi w:val="0"/>
        <w:spacing w:before="0" w:after="0" w:line="240" w:lineRule="auto"/>
        <w:ind w:left="0" w:right="0" w:firstLine="780"/>
        <w:jc w:val="both"/>
      </w:pPr>
      <w:r>
        <w:rPr>
          <w:rStyle w:val="CharStyle16"/>
        </w:rPr>
        <w:t>«</w:t>
      </w:r>
      <w:r>
        <w:rPr>
          <w:rStyle w:val="CharStyle16"/>
          <w:i/>
          <w:iCs/>
        </w:rPr>
        <w:t>Указание каталожных номеров запасных частей в Техническом задании представляет собой исполнение прямого предписания государственного стандарта, обязательного для применения при осуществлении закупок услуг по техническому обслуживанию и ремонту медицинских изделий для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Исходя из анализа перечисленных норм, в частности подп.«в» п.1 ч.1 ст.33 Закона о контрактной системе, заказчику предоставлено право указывать в описании объекта закупки требование о наличии товарного знака в случае осуществления закупки товара из числа запасных частей и расходных материалов к оборудованию, используемым заказчиком, в соответствии с технической документацией на указанное оборудование.</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В соответствии с частью </w:t>
      </w:r>
      <w:r>
        <w:rPr>
          <w:rStyle w:val="CharStyle16"/>
          <w:i/>
          <w:iCs/>
          <w:lang w:val="en-US" w:eastAsia="en-US"/>
        </w:rPr>
        <w:t xml:space="preserve">3 </w:t>
      </w:r>
      <w:r>
        <w:rPr>
          <w:rStyle w:val="CharStyle16"/>
          <w:i/>
          <w:iCs/>
        </w:rPr>
        <w:t xml:space="preserve">статьи </w:t>
      </w:r>
      <w:r>
        <w:rPr>
          <w:rStyle w:val="CharStyle16"/>
          <w:i/>
          <w:iCs/>
          <w:lang w:val="en-US" w:eastAsia="en-US"/>
        </w:rPr>
        <w:t xml:space="preserve">38 </w:t>
      </w:r>
      <w:r>
        <w:rPr>
          <w:rStyle w:val="CharStyle16"/>
          <w:i/>
          <w:iCs/>
        </w:rPr>
        <w:t xml:space="preserve">Федерального закона от </w:t>
      </w:r>
      <w:r>
        <w:rPr>
          <w:rStyle w:val="CharStyle16"/>
          <w:i/>
          <w:iCs/>
          <w:lang w:val="en-US" w:eastAsia="en-US"/>
        </w:rPr>
        <w:t xml:space="preserve">21.11.2011 N </w:t>
      </w:r>
      <w:r>
        <w:rPr>
          <w:rStyle w:val="CharStyle16"/>
          <w:i/>
          <w:iCs/>
        </w:rPr>
        <w:t>323-ФЗ "Об основах охраны здоровья граждан в Российской Федерации" применение, эксплуатация медицинского изделия осуществляются в соответствии с разработанной производителем (изготовителем) медицинского изделия технической и (или) эксплуатационной документацией.</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В соответствии с письмом Росздравнадзора от </w:t>
      </w:r>
      <w:r>
        <w:rPr>
          <w:rStyle w:val="CharStyle16"/>
          <w:i/>
          <w:iCs/>
          <w:lang w:val="en-US" w:eastAsia="en-US"/>
        </w:rPr>
        <w:t xml:space="preserve">05.02.2016 № </w:t>
      </w:r>
      <w:r>
        <w:rPr>
          <w:rStyle w:val="CharStyle16"/>
          <w:i/>
          <w:iCs/>
        </w:rPr>
        <w:t>09-С-571-1414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Так, в Руководстве по эксплуатации к ангиографической системе </w:t>
      </w:r>
      <w:r>
        <w:rPr>
          <w:rStyle w:val="CharStyle16"/>
          <w:i/>
          <w:iCs/>
          <w:lang w:val="en-US" w:eastAsia="en-US"/>
        </w:rPr>
        <w:t xml:space="preserve">Philips Azurion </w:t>
      </w:r>
      <w:r>
        <w:rPr>
          <w:rStyle w:val="CharStyle16"/>
          <w:i/>
          <w:iCs/>
        </w:rPr>
        <w:t xml:space="preserve">четко указано, что при эксплуатации системы не использовать никакие принадлежности и элементы, совместимость которых не подтверждена компанией </w:t>
      </w:r>
      <w:r>
        <w:rPr>
          <w:rStyle w:val="CharStyle16"/>
          <w:i/>
          <w:iCs/>
          <w:lang w:val="en-US" w:eastAsia="en-US"/>
        </w:rPr>
        <w:t xml:space="preserve">Philips. </w:t>
      </w:r>
      <w:r>
        <w:rPr>
          <w:rStyle w:val="CharStyle16"/>
          <w:i/>
          <w:iCs/>
        </w:rPr>
        <w:t>В соответствии с технической документацией завода-изготовителя,</w:t>
      </w:r>
    </w:p>
    <w:p>
      <w:pPr>
        <w:pStyle w:val="Style15"/>
        <w:keepNext w:val="0"/>
        <w:keepLines w:val="0"/>
        <w:widowControl w:val="0"/>
        <w:shd w:val="clear" w:color="auto" w:fill="auto"/>
        <w:bidi w:val="0"/>
        <w:spacing w:before="0" w:after="0" w:line="240" w:lineRule="auto"/>
        <w:ind w:left="0" w:right="0" w:firstLine="0"/>
        <w:jc w:val="both"/>
      </w:pPr>
      <w:r>
        <w:rPr>
          <w:rStyle w:val="CharStyle16"/>
          <w:i/>
          <w:iCs/>
        </w:rPr>
        <w:t xml:space="preserve">использование запасных частей не оригинального происхождения, установленных не сертифицированными специалистами, не может в полной мере отвечать стандартам качества медицинского оборудования компании </w:t>
      </w:r>
      <w:r>
        <w:rPr>
          <w:rStyle w:val="CharStyle16"/>
          <w:i/>
          <w:iCs/>
          <w:lang w:val="en-US" w:eastAsia="en-US"/>
        </w:rPr>
        <w:t xml:space="preserve">Philips </w:t>
      </w:r>
      <w:r>
        <w:rPr>
          <w:rStyle w:val="CharStyle16"/>
          <w:i/>
          <w:iCs/>
        </w:rPr>
        <w:t>и может привести к возникновению целого ряда рисков для пациентов и медицинского персонала.</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Такие запасные части как, цветной монитор </w:t>
      </w:r>
      <w:r>
        <w:rPr>
          <w:rStyle w:val="CharStyle16"/>
          <w:i/>
          <w:iCs/>
          <w:lang w:val="en-US" w:eastAsia="en-US"/>
        </w:rPr>
        <w:t xml:space="preserve">C15S, </w:t>
      </w:r>
      <w:r>
        <w:rPr>
          <w:rStyle w:val="CharStyle16"/>
          <w:i/>
          <w:iCs/>
        </w:rPr>
        <w:t xml:space="preserve">скобы для фиксации кабеля </w:t>
      </w:r>
      <w:r>
        <w:rPr>
          <w:rStyle w:val="CharStyle16"/>
          <w:i/>
          <w:iCs/>
          <w:lang w:val="en-US" w:eastAsia="en-US"/>
        </w:rPr>
        <w:t xml:space="preserve">DV1 </w:t>
      </w:r>
      <w:r>
        <w:rPr>
          <w:rStyle w:val="CharStyle16"/>
          <w:i/>
          <w:iCs/>
        </w:rPr>
        <w:t xml:space="preserve">и видеоприёмник </w:t>
      </w:r>
      <w:r>
        <w:rPr>
          <w:rStyle w:val="CharStyle16"/>
          <w:i/>
          <w:iCs/>
          <w:lang w:val="en-US" w:eastAsia="en-US"/>
        </w:rPr>
        <w:t xml:space="preserve">DV1 </w:t>
      </w:r>
      <w:r>
        <w:rPr>
          <w:rStyle w:val="CharStyle16"/>
          <w:i/>
          <w:iCs/>
        </w:rPr>
        <w:t>являются исчерпывающими в процессе работы единой системы.</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Использование каких-либо других запасных частей, кроме оригинальных </w:t>
      </w:r>
      <w:r>
        <w:rPr>
          <w:rStyle w:val="CharStyle16"/>
          <w:i/>
          <w:iCs/>
          <w:lang w:val="en-US" w:eastAsia="en-US"/>
        </w:rPr>
        <w:t xml:space="preserve">Philips, </w:t>
      </w:r>
      <w:r>
        <w:rPr>
          <w:rStyle w:val="CharStyle16"/>
          <w:i/>
          <w:iCs/>
        </w:rPr>
        <w:t xml:space="preserve">может негативно повлиять на качество проведения медицинского вмешательства и надежности исследования. Ведь указанные изделия разработаны специально для данной ангиографической системы и изготавливаются при строгом соблюдении всех процедур контроля качества </w:t>
      </w:r>
      <w:r>
        <w:rPr>
          <w:rStyle w:val="CharStyle16"/>
          <w:i/>
          <w:iCs/>
          <w:lang w:val="en-US" w:eastAsia="en-US"/>
        </w:rPr>
        <w:t xml:space="preserve">Philips. </w:t>
      </w:r>
      <w:r>
        <w:rPr>
          <w:rStyle w:val="CharStyle16"/>
          <w:i/>
          <w:iCs/>
        </w:rPr>
        <w:t>Точное соблюдение указаний обеспечит длительную и безопасную эксплуатацию ангиографической системы в целом.</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В связи с этим ООО «Филипс» не может гарантировать качество исследований, проводимых на таком оборудовании, безопасность пациентов и медицинских работников. А также не несет ответственности за результаты работы оборудования и исследований, которые проводились с неоригинальными запасными частями.</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Кроме того, важным является то, что установка неоригинальных запасных частей является внесением изменений в конструкцию медицинского оборудования. Если оборудование с неоригинальными запасными частями не соответствует требованиям безопасности и эффективности, требованиям к технической и эксплуатационной документации и не может быть безопасно использовано по назначению, установленному изготовителем, оно может быть признано недоброкачественным медицинским изделием. Недоброкачественные медицинские изделия на территории Российской Федерации запрещены к обращению и подлежат изъятию из обращения и уничтожению.</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Гарантийный талон является документом, подтверждающим гарантийные обязательства продавца (изготовителя), то есть обязательства по обеспечению качества товара в течение определенного периода времени </w:t>
      </w:r>
      <w:r>
        <w:rPr>
          <w:rStyle w:val="CharStyle16"/>
          <w:i/>
          <w:iCs/>
          <w:lang w:val="en-US" w:eastAsia="en-US"/>
        </w:rPr>
        <w:t xml:space="preserve">— </w:t>
      </w:r>
      <w:r>
        <w:rPr>
          <w:rStyle w:val="CharStyle16"/>
          <w:i/>
          <w:iCs/>
        </w:rPr>
        <w:t>гарантийного срока. Наличие Гарантийного талона или иного документа, подтверждающего гарантию производителя или представителя производителя на территории РФ, является дополнительным документом, на основании которого Заказчик может принять решение об оригинальности запасной части.</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w:t>
      </w:r>
      <w:r>
        <w:rPr>
          <w:rStyle w:val="CharStyle16"/>
          <w:i/>
          <w:iCs/>
          <w:lang w:val="en-US" w:eastAsia="en-US"/>
        </w:rPr>
        <w:t xml:space="preserve">— </w:t>
      </w:r>
      <w:r>
        <w:rPr>
          <w:rStyle w:val="CharStyle16"/>
          <w:i/>
          <w:iCs/>
        </w:rPr>
        <w:t>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w:t>
      </w:r>
    </w:p>
    <w:p>
      <w:pPr>
        <w:pStyle w:val="Style15"/>
        <w:keepNext w:val="0"/>
        <w:keepLines w:val="0"/>
        <w:widowControl w:val="0"/>
        <w:shd w:val="clear" w:color="auto" w:fill="auto"/>
        <w:bidi w:val="0"/>
        <w:spacing w:before="0" w:after="0" w:line="240" w:lineRule="auto"/>
        <w:ind w:left="0" w:right="0" w:firstLine="0"/>
        <w:jc w:val="both"/>
      </w:pPr>
      <w:r>
        <w:rPr>
          <w:rStyle w:val="CharStyle16"/>
          <w:i/>
          <w:iCs/>
        </w:rPr>
        <w:t>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Применительно к рентгеновской трубке требование о предоставлении гарантийного талона производителя обосновано ее особым правовым режимом. Рентгеновская трубка является источником ионизирующего излучения, эксплуатация которого регулируется СанПиН </w:t>
      </w:r>
      <w:r>
        <w:rPr>
          <w:rStyle w:val="CharStyle16"/>
          <w:i/>
          <w:iCs/>
          <w:lang w:val="en-US" w:eastAsia="en-US"/>
        </w:rPr>
        <w:t xml:space="preserve">2.6.1.1192–03 </w:t>
      </w:r>
      <w:r>
        <w:rPr>
          <w:rStyle w:val="CharStyle16"/>
          <w:i/>
          <w:iCs/>
        </w:rPr>
        <w:t>«Гигиенические требования к устройству и эксплуатации рентгеновских кабинетов, аппаратов и проведению рентгенологических исследований», а также нормами и правилами в области использования атомной энергии. Сведения о рентгеновской трубке (тип, заводской номер, дата изготовления, гарантийный срок производителя) подлежат внесению в технический паспорт медицинского изделия и предъявлению при проверках Росздравнадзора и Роспотребнадзора, что объективно требует подтверждения характеристик и происхождения данного компонента документами производителя.</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Извещение в рассматриваемом аукционе не предусматривает, что осуществление закупки проводится среди производителей требуемого к использованию товара (комплектующих) при проведении закупаемых работ.</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В закупке может участвовать не ограниченное количество участников. Участником закупки может выступать любое лицо, имеющее соответствующую правоспособность и готовое выполнить закупаемые работы с использованием требуемых заказчику комплектующих изделий, согласно условиям извещения.</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 xml:space="preserve">Заказчиком проведен всесторонний мониторинг исполнителей и сделан вывод, что имеется достаточное количество потенциальных исполнителей, способных оказать услуги по ремонту систему ангиографической </w:t>
      </w:r>
      <w:r>
        <w:rPr>
          <w:rStyle w:val="CharStyle16"/>
          <w:i/>
          <w:iCs/>
          <w:lang w:val="en-US" w:eastAsia="en-US"/>
        </w:rPr>
        <w:t xml:space="preserve">Azurion 3 M15 </w:t>
      </w:r>
      <w:r>
        <w:rPr>
          <w:rStyle w:val="CharStyle16"/>
          <w:i/>
          <w:iCs/>
        </w:rPr>
        <w:t>с заменой запасных частей, в полном объеме с установленными требованиями, отвечающими потребности Заказчика.</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Отсутствие у каких-либо лиц, заинтересованных в заключении контракта, возможности выполнить закупаемые работы в соответствии с установленными в извещении о закупке условиями, соответствующими потребности Заказчика, не свидетельствует о нарушении Заказчиком прав этих лиц, а также ограничении заказчиком числа участников торгов.</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Установление Заказчиком характеристик товара, объективно отвечающим его потребностям, само по себе нельзя рассматривать как действия, направленные на противозаконное ограничение конкуренции.</w:t>
      </w:r>
    </w:p>
    <w:p>
      <w:pPr>
        <w:pStyle w:val="Style15"/>
        <w:keepNext w:val="0"/>
        <w:keepLines w:val="0"/>
        <w:widowControl w:val="0"/>
        <w:shd w:val="clear" w:color="auto" w:fill="auto"/>
        <w:bidi w:val="0"/>
        <w:spacing w:before="0" w:after="0" w:line="240" w:lineRule="auto"/>
        <w:ind w:left="0" w:right="0" w:firstLine="780"/>
        <w:jc w:val="both"/>
      </w:pPr>
      <w:r>
        <w:rPr>
          <w:rStyle w:val="CharStyle16"/>
          <w:i/>
          <w:iCs/>
        </w:rPr>
        <w:t>Иной подход, по существу, приводит к понуждению Заказчика заключить контракт на ремонт оборудования с применением комплектующих к медицинскому оборудованию не одобренных производителем для их совместного использования, что потенциально ставило бы под угрозу не только эксплуатационную сохранность соответствующего медицинского оборудования, но и здоровье пациентов при оказании медицинской помощи</w:t>
      </w:r>
      <w:r>
        <w:rPr>
          <w:rStyle w:val="CharStyle16"/>
        </w:rPr>
        <w:t>».</w:t>
      </w:r>
    </w:p>
    <w:p>
      <w:pPr>
        <w:pStyle w:val="Style15"/>
        <w:keepNext w:val="0"/>
        <w:keepLines w:val="0"/>
        <w:widowControl w:val="0"/>
        <w:shd w:val="clear" w:color="auto" w:fill="auto"/>
        <w:bidi w:val="0"/>
        <w:spacing w:before="0" w:after="0" w:line="240" w:lineRule="auto"/>
        <w:ind w:left="0" w:right="0" w:firstLine="780"/>
        <w:jc w:val="both"/>
      </w:pPr>
      <w:r>
        <w:rPr>
          <w:rStyle w:val="CharStyle16"/>
        </w:rPr>
        <w:t>Комиссией Нижегородского УФАС России установлено, что при подготовке к</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проведению закупочной процедуры Заказчиком получено </w:t>
      </w:r>
      <w:r>
        <w:rPr>
          <w:rStyle w:val="CharStyle16"/>
          <w:lang w:val="en-US" w:eastAsia="en-US"/>
        </w:rPr>
        <w:t xml:space="preserve">4 </w:t>
      </w:r>
      <w:r>
        <w:rPr>
          <w:rStyle w:val="CharStyle16"/>
        </w:rPr>
        <w:t>коммерческих предложения от разных хозяйствующих субъектов.</w:t>
      </w:r>
    </w:p>
    <w:p>
      <w:pPr>
        <w:pStyle w:val="Style15"/>
        <w:keepNext w:val="0"/>
        <w:keepLines w:val="0"/>
        <w:widowControl w:val="0"/>
        <w:shd w:val="clear" w:color="auto" w:fill="auto"/>
        <w:bidi w:val="0"/>
        <w:spacing w:before="0" w:after="0" w:line="240" w:lineRule="auto"/>
        <w:ind w:left="0" w:right="0" w:firstLine="760"/>
        <w:jc w:val="both"/>
      </w:pPr>
      <w:r>
        <w:rPr>
          <w:rStyle w:val="CharStyle16"/>
        </w:rPr>
        <w:t>Заслушав позиции лиц, участвующих в рассмотрении, Комиссия Нижегородского УФАС России пришла к выводу о признании жалобы необоснованной.</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С учетом изложенного, руководствуясь частью </w:t>
      </w:r>
      <w:r>
        <w:rPr>
          <w:rStyle w:val="CharStyle16"/>
          <w:lang w:val="en-US" w:eastAsia="en-US"/>
        </w:rPr>
        <w:t xml:space="preserve">8 </w:t>
      </w:r>
      <w:r>
        <w:rPr>
          <w:rStyle w:val="CharStyle16"/>
        </w:rPr>
        <w:t xml:space="preserve">статьи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w:t>
      </w:r>
      <w:r>
        <w:rPr>
          <w:rStyle w:val="CharStyle16"/>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5"/>
        <w:keepNext w:val="0"/>
        <w:keepLines w:val="0"/>
        <w:widowControl w:val="0"/>
        <w:shd w:val="clear" w:color="auto" w:fill="auto"/>
        <w:bidi w:val="0"/>
        <w:spacing w:before="0" w:after="340" w:line="240" w:lineRule="auto"/>
        <w:ind w:left="0" w:right="0" w:firstLine="0"/>
        <w:jc w:val="center"/>
      </w:pPr>
      <w:r>
        <w:rPr>
          <w:rStyle w:val="CharStyle16"/>
          <w:b/>
          <w:bCs/>
        </w:rPr>
        <w:t>решила:</w:t>
      </w:r>
    </w:p>
    <w:p>
      <w:pPr>
        <w:pStyle w:val="Style15"/>
        <w:keepNext w:val="0"/>
        <w:keepLines w:val="0"/>
        <w:widowControl w:val="0"/>
        <w:shd w:val="clear" w:color="auto" w:fill="auto"/>
        <w:bidi w:val="0"/>
        <w:spacing w:before="0" w:after="0" w:line="240" w:lineRule="auto"/>
        <w:ind w:left="0" w:right="0" w:firstLine="760"/>
        <w:jc w:val="both"/>
      </w:pPr>
      <w:r>
        <w:rPr>
          <w:rStyle w:val="CharStyle16"/>
          <w:lang w:val="en-US" w:eastAsia="en-US"/>
        </w:rPr>
        <w:t xml:space="preserve">1. </w:t>
      </w:r>
      <w:r>
        <w:rPr>
          <w:rStyle w:val="CharStyle16"/>
        </w:rPr>
        <w:t xml:space="preserve">Признать жалобу общества с ограниченной ответственностью «КВАНТ» о нарушении Государственным бюджетным учреждением здравоохранения Нижегородской области «Городская клиническая больница </w:t>
      </w:r>
      <w:r>
        <w:rPr>
          <w:rStyle w:val="CharStyle16"/>
          <w:lang w:val="en-US" w:eastAsia="en-US"/>
        </w:rPr>
        <w:t xml:space="preserve">№ 5 </w:t>
      </w:r>
      <w:r>
        <w:rPr>
          <w:rStyle w:val="CharStyle16"/>
        </w:rPr>
        <w:t xml:space="preserve">Нижегородского района города Нижнего Новгорода»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«Оказание услуг по ремонту системы ангиографической </w:t>
      </w:r>
      <w:r>
        <w:rPr>
          <w:rStyle w:val="CharStyle16"/>
          <w:lang w:val="en-US" w:eastAsia="en-US"/>
        </w:rPr>
        <w:t xml:space="preserve">Azurion 3 M15 </w:t>
      </w:r>
      <w:r>
        <w:rPr>
          <w:rStyle w:val="CharStyle16"/>
        </w:rPr>
        <w:t xml:space="preserve">с заменой запасных частей», номер извещения </w:t>
      </w:r>
      <w:r>
        <w:rPr>
          <w:rStyle w:val="CharStyle16"/>
          <w:lang w:val="en-US" w:eastAsia="en-US"/>
        </w:rPr>
        <w:t xml:space="preserve">0832200006626000354, </w:t>
      </w:r>
      <w:r>
        <w:rPr>
          <w:rStyle w:val="CharStyle16"/>
        </w:rPr>
        <w:t>обоснованной.</w:t>
      </w:r>
    </w:p>
    <w:p>
      <w:pPr>
        <w:pStyle w:val="Style15"/>
        <w:keepNext w:val="0"/>
        <w:keepLines w:val="0"/>
        <w:widowControl w:val="0"/>
        <w:shd w:val="clear" w:color="auto" w:fill="auto"/>
        <w:bidi w:val="0"/>
        <w:spacing w:before="0" w:after="0" w:line="240" w:lineRule="auto"/>
        <w:ind w:left="0" w:right="0" w:firstLine="760"/>
        <w:jc w:val="both"/>
      </w:pPr>
      <w:r>
        <w:rPr>
          <w:rStyle w:val="CharStyle16"/>
        </w:rPr>
        <w:t xml:space="preserve">В соответствии с частью </w:t>
      </w:r>
      <w:r>
        <w:rPr>
          <w:rStyle w:val="CharStyle16"/>
          <w:lang w:val="en-US" w:eastAsia="en-US"/>
        </w:rPr>
        <w:t xml:space="preserve">9 </w:t>
      </w:r>
      <w:r>
        <w:rPr>
          <w:rStyle w:val="CharStyle16"/>
        </w:rPr>
        <w:t xml:space="preserve">статьи </w:t>
      </w:r>
      <w:r>
        <w:rPr>
          <w:rStyle w:val="CharStyle16"/>
          <w:lang w:val="en-US" w:eastAsia="en-US"/>
        </w:rPr>
        <w:t xml:space="preserve">106 </w:t>
      </w:r>
      <w:r>
        <w:rPr>
          <w:rStyle w:val="CharStyle16"/>
        </w:rPr>
        <w:t xml:space="preserve">Федерального закона от </w:t>
      </w:r>
      <w:r>
        <w:rPr>
          <w:rStyle w:val="CharStyle16"/>
          <w:lang w:val="en-US" w:eastAsia="en-US"/>
        </w:rPr>
        <w:t xml:space="preserve">05.04.2013 </w:t>
      </w:r>
      <w:r>
        <w:rPr>
          <w:rStyle w:val="CharStyle16"/>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25" w:right="541" w:bottom="859" w:left="1082" w:header="0" w:footer="3" w:gutter="0"/>
          <w:cols w:space="720"/>
          <w:noEndnote/>
          <w:rtlGutter w:val="0"/>
          <w:docGrid w:linePitch="360"/>
        </w:sectPr>
      </w:pPr>
      <w:r>
        <mc:AlternateContent>
          <mc:Choice Requires="wps">
            <w:drawing>
              <wp:anchor distT="114300" distB="210185" distL="0" distR="0" simplePos="0" relativeHeight="125829381" behindDoc="0" locked="0" layoutInCell="1" allowOverlap="1">
                <wp:simplePos x="0" y="0"/>
                <wp:positionH relativeFrom="page">
                  <wp:posOffset>732790</wp:posOffset>
                </wp:positionH>
                <wp:positionV relativeFrom="paragraph">
                  <wp:posOffset>114300</wp:posOffset>
                </wp:positionV>
                <wp:extent cx="1697990" cy="234950"/>
                <wp:wrapTopAndBottom/>
                <wp:docPr id="13" name="Shape 13"/>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7.700000000000003pt;margin-top:9.pt;width:133.69999999999999pt;height:18.5pt;z-index:-125829372;mso-wrap-distance-left:0;mso-wrap-distance-top:9.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214630" distB="635" distL="0" distR="1816735" simplePos="0" relativeHeight="125829383" behindDoc="0" locked="0" layoutInCell="1" allowOverlap="1">
            <wp:simplePos x="0" y="0"/>
            <wp:positionH relativeFrom="page">
              <wp:posOffset>3253740</wp:posOffset>
            </wp:positionH>
            <wp:positionV relativeFrom="paragraph">
              <wp:posOffset>214630</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3643630</wp:posOffset>
                </wp:positionH>
                <wp:positionV relativeFrom="paragraph">
                  <wp:posOffset>275590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6.90000000000003pt;margin-top:21.699999999999999pt;width:135.59999999999999pt;height:20.400000000000002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10185" distL="0" distR="0" simplePos="0" relativeHeight="125829384" behindDoc="0" locked="0" layoutInCell="1" allowOverlap="1">
                <wp:simplePos x="0" y="0"/>
                <wp:positionH relativeFrom="page">
                  <wp:posOffset>5914390</wp:posOffset>
                </wp:positionH>
                <wp:positionV relativeFrom="paragraph">
                  <wp:posOffset>114300</wp:posOffset>
                </wp:positionV>
                <wp:extent cx="953770" cy="234950"/>
                <wp:wrapTopAndBottom/>
                <wp:docPr id="19" name="Shape 19"/>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И.В. Баранов</w:t>
                            </w:r>
                          </w:p>
                        </w:txbxContent>
                      </wps:txbx>
                      <wps:bodyPr wrap="none" lIns="0" tIns="0" rIns="0" bIns="0">
                        <a:noAutoFit/>
                      </wps:bodyPr>
                    </wps:wsp>
                  </a:graphicData>
                </a:graphic>
              </wp:anchor>
            </w:drawing>
          </mc:Choice>
          <mc:Fallback>
            <w:pict>
              <v:shape id="_x0000_s1045" type="#_x0000_t202" style="position:absolute;margin-left:465.69999999999999pt;margin-top:9.pt;width:75.100000000000009pt;height:18.5pt;z-index:-125829369;mso-wrap-distance-left:0;mso-wrap-distance-top:9.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И.В. Баранов</w:t>
                      </w:r>
                    </w:p>
                  </w:txbxContent>
                </v:textbox>
                <w10:wrap type="topAndBottom" anchorx="page"/>
              </v:shape>
            </w:pict>
          </mc:Fallback>
        </mc:AlternateContent>
      </w:r>
    </w:p>
    <w:p>
      <w:pPr>
        <w:pStyle w:val="Style21"/>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Баранов Илья Валерьевич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0D493BB3DAA620D04EE744081508209F</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Действителен с 24.09.2025 </w:t>
      </w:r>
      <w:r>
        <w:rPr>
          <w:rStyle w:val="CharStyle24"/>
          <w:color w:val="5E5E5E"/>
        </w:rPr>
        <w:t xml:space="preserve">по </w:t>
      </w:r>
      <w:r>
        <w:rPr>
          <w:rStyle w:val="CharStyle24"/>
        </w:rPr>
        <w:t>18.12.2026</w:t>
      </w:r>
    </w:p>
    <w:p>
      <w:pPr>
        <w:widowControl w:val="0"/>
        <w:spacing w:line="1" w:lineRule="exact"/>
        <w:sectPr>
          <w:footnotePr>
            <w:pos w:val="pageBottom"/>
            <w:numFmt w:val="decimal"/>
            <w:numRestart w:val="continuous"/>
          </w:footnotePr>
          <w:type w:val="continuous"/>
          <w:pgSz w:w="11900" w:h="16840"/>
          <w:pgMar w:top="1666" w:right="546" w:bottom="1570" w:left="1106" w:header="0" w:footer="3" w:gutter="0"/>
          <w:cols w:space="720"/>
          <w:noEndnote/>
          <w:rtlGutter w:val="0"/>
          <w:docGrid w:linePitch="360"/>
        </w:sectPr>
      </w:pPr>
      <w:r>
        <mc:AlternateContent>
          <mc:Choice Requires="wps">
            <w:drawing>
              <wp:anchor distT="203200" distB="210185" distL="0" distR="0" simplePos="0" relativeHeight="125829386" behindDoc="0" locked="0" layoutInCell="1" allowOverlap="1">
                <wp:simplePos x="0" y="0"/>
                <wp:positionH relativeFrom="page">
                  <wp:posOffset>729615</wp:posOffset>
                </wp:positionH>
                <wp:positionV relativeFrom="paragraph">
                  <wp:posOffset>203200</wp:posOffset>
                </wp:positionV>
                <wp:extent cx="1249680" cy="234950"/>
                <wp:wrapTopAndBottom/>
                <wp:docPr id="21" name="Shape 21"/>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wps:txbx>
                      <wps:bodyPr wrap="none" lIns="0" tIns="0" rIns="0" bIns="0">
                        <a:noAutoFit/>
                      </wps:bodyPr>
                    </wps:wsp>
                  </a:graphicData>
                </a:graphic>
              </wp:anchor>
            </w:drawing>
          </mc:Choice>
          <mc:Fallback>
            <w:pict>
              <v:shape id="_x0000_s1047" type="#_x0000_t202" style="position:absolute;margin-left:57.450000000000003pt;margin-top:16.pt;width:98.400000000000006pt;height:18.5pt;z-index:-125829367;mso-wrap-distance-left:0;mso-wrap-distance-top:16.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v:textbox>
                <w10:wrap type="topAndBottom" anchorx="page"/>
              </v:shape>
            </w:pict>
          </mc:Fallback>
        </mc:AlternateContent>
      </w:r>
      <w:r>
        <w:drawing>
          <wp:anchor distT="300990" distB="0" distL="0" distR="1816735" simplePos="0" relativeHeight="125829388" behindDoc="0" locked="0" layoutInCell="1" allowOverlap="1">
            <wp:simplePos x="0" y="0"/>
            <wp:positionH relativeFrom="page">
              <wp:posOffset>3253105</wp:posOffset>
            </wp:positionH>
            <wp:positionV relativeFrom="paragraph">
              <wp:posOffset>300990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3642995</wp:posOffset>
                </wp:positionH>
                <wp:positionV relativeFrom="paragraph">
                  <wp:posOffset>361950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86.85000000000002pt;margin-top:28.5pt;width:135.59999999999999pt;height:20.400000000000002pt;z-index:251657731;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10185" distL="0" distR="0" simplePos="0" relativeHeight="125829389" behindDoc="0" locked="0" layoutInCell="1" allowOverlap="1">
                <wp:simplePos x="0" y="0"/>
                <wp:positionH relativeFrom="page">
                  <wp:posOffset>5917565</wp:posOffset>
                </wp:positionH>
                <wp:positionV relativeFrom="paragraph">
                  <wp:posOffset>203200</wp:posOffset>
                </wp:positionV>
                <wp:extent cx="1045210" cy="234950"/>
                <wp:wrapTopAndBottom/>
                <wp:docPr id="27" name="Shape 27"/>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И.А. Королева</w:t>
                            </w:r>
                          </w:p>
                        </w:txbxContent>
                      </wps:txbx>
                      <wps:bodyPr wrap="none" lIns="0" tIns="0" rIns="0" bIns="0">
                        <a:noAutoFit/>
                      </wps:bodyPr>
                    </wps:wsp>
                  </a:graphicData>
                </a:graphic>
              </wp:anchor>
            </w:drawing>
          </mc:Choice>
          <mc:Fallback>
            <w:pict>
              <v:shape id="_x0000_s1053" type="#_x0000_t202" style="position:absolute;margin-left:465.94999999999999pt;margin-top:16.pt;width:82.299999999999997pt;height:18.5pt;z-index:-125829364;mso-wrap-distance-left:0;mso-wrap-distance-top:16.pt;mso-wrap-distance-right:0;mso-wrap-distance-bottom:16.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И.А. Королева</w:t>
                      </w:r>
                    </w:p>
                  </w:txbxContent>
                </v:textbox>
                <w10:wrap type="topAndBottom" anchorx="page"/>
              </v:shape>
            </w:pict>
          </mc:Fallback>
        </mc:AlternateContent>
      </w:r>
    </w:p>
    <w:p>
      <w:pPr>
        <w:pStyle w:val="Style21"/>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Королёва Ирина Андреевна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00C37A327BDE0B3DCB5E7D45FE744668C</w:t>
      </w:r>
      <w:r>
        <w:rPr>
          <w:rStyle w:val="CharStyle24"/>
          <w:lang w:val="en-US" w:eastAsia="en-US"/>
        </w:rPr>
        <w:t>(</w:t>
      </w:r>
    </w:p>
    <w:p>
      <w:pPr>
        <w:pStyle w:val="Style23"/>
        <w:keepNext w:val="0"/>
        <w:keepLines w:val="0"/>
        <w:widowControl w:val="0"/>
        <w:shd w:val="clear" w:color="auto" w:fill="auto"/>
        <w:bidi w:val="0"/>
        <w:spacing w:before="0" w:after="460" w:line="240" w:lineRule="auto"/>
        <w:ind w:right="0" w:firstLine="0"/>
        <w:jc w:val="left"/>
      </w:pPr>
      <w:r>
        <w:rPr>
          <w:rStyle w:val="CharStyle24"/>
        </w:rPr>
        <w:t xml:space="preserve">Действителен с </w:t>
      </w:r>
      <w:r>
        <w:rPr>
          <w:rStyle w:val="CharStyle24"/>
          <w:color w:val="5E5E5E"/>
        </w:rPr>
        <w:t xml:space="preserve">30.12.2025 по </w:t>
      </w:r>
      <w:r>
        <w:rPr>
          <w:rStyle w:val="CharStyle24"/>
        </w:rPr>
        <w:t>25.03.2027</w:t>
      </w:r>
    </w:p>
    <w:p>
      <w:pPr>
        <w:pStyle w:val="Style15"/>
        <w:keepNext w:val="0"/>
        <w:keepLines w:val="0"/>
        <w:widowControl w:val="0"/>
        <w:shd w:val="clear" w:color="auto" w:fill="auto"/>
        <w:bidi w:val="0"/>
        <w:spacing w:before="0" w:after="410" w:line="240" w:lineRule="auto"/>
        <w:ind w:left="0" w:right="0" w:firstLine="700"/>
        <w:jc w:val="left"/>
      </w:pPr>
      <w:r>
        <w:drawing>
          <wp:anchor distT="0" distB="0" distL="114300" distR="1931035" simplePos="0" relativeHeight="125829391" behindDoc="0" locked="0" layoutInCell="1" allowOverlap="1">
            <wp:simplePos x="0" y="0"/>
            <wp:positionH relativeFrom="page">
              <wp:posOffset>3253740</wp:posOffset>
            </wp:positionH>
            <wp:positionV relativeFrom="paragraph">
              <wp:posOffset>88900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3643630</wp:posOffset>
                </wp:positionH>
                <wp:positionV relativeFrom="paragraph">
                  <wp:posOffset>149860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6.90000000000003pt;margin-top:11.800000000000001pt;width:135.59999999999999pt;height:20.400000000000002pt;z-index:251657733;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Ю.К. Лебедева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Лебедева Юлия Константиновна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00C93FBB7A4557EA64748F1397E15ED90B</w:t>
      </w:r>
    </w:p>
    <w:p>
      <w:pPr>
        <w:pStyle w:val="Style23"/>
        <w:keepNext w:val="0"/>
        <w:keepLines w:val="0"/>
        <w:widowControl w:val="0"/>
        <w:shd w:val="clear" w:color="auto" w:fill="auto"/>
        <w:bidi w:val="0"/>
        <w:spacing w:before="0" w:after="600" w:line="240" w:lineRule="auto"/>
        <w:ind w:right="0" w:firstLine="0"/>
        <w:jc w:val="left"/>
      </w:pPr>
      <w:r>
        <w:rPr>
          <w:rStyle w:val="CharStyle24"/>
        </w:rPr>
        <w:t xml:space="preserve">Действителен с 04.09.2025 </w:t>
      </w:r>
      <w:r>
        <w:rPr>
          <w:rStyle w:val="CharStyle24"/>
          <w:color w:val="5E5E5E"/>
        </w:rPr>
        <w:t xml:space="preserve">по </w:t>
      </w:r>
      <w:r>
        <w:rPr>
          <w:rStyle w:val="CharStyle24"/>
        </w:rPr>
        <w:t>28.1</w:t>
      </w:r>
      <w:r>
        <w:rPr>
          <w:rStyle w:val="CharStyle24"/>
          <w:color w:val="292929"/>
        </w:rPr>
        <w:t>1</w:t>
      </w:r>
      <w:r>
        <w:rPr>
          <w:rStyle w:val="CharStyle24"/>
        </w:rPr>
        <w:t>.2026</w:t>
      </w:r>
    </w:p>
    <w:p>
      <w:pPr>
        <w:pStyle w:val="Style28"/>
        <w:keepNext w:val="0"/>
        <w:keepLines w:val="0"/>
        <w:widowControl w:val="0"/>
        <w:shd w:val="clear" w:color="auto" w:fill="auto"/>
        <w:bidi w:val="0"/>
        <w:spacing w:before="0" w:line="240" w:lineRule="auto"/>
        <w:ind w:left="0" w:right="0" w:firstLine="0"/>
        <w:jc w:val="left"/>
      </w:pPr>
      <w:r>
        <w:rPr>
          <w:rStyle w:val="CharStyle29"/>
        </w:rPr>
        <w:t>тел.8(831)431-73-95, вн.052-301</w:t>
      </w:r>
    </w:p>
    <w:sectPr>
      <w:footnotePr>
        <w:pos w:val="pageBottom"/>
        <w:numFmt w:val="decimal"/>
        <w:numRestart w:val="continuous"/>
      </w:footnotePr>
      <w:type w:val="continuous"/>
      <w:pgSz w:w="11900" w:h="16840"/>
      <w:pgMar w:top="1666" w:right="546" w:bottom="157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781685</wp:posOffset>
              </wp:positionH>
              <wp:positionV relativeFrom="page">
                <wp:posOffset>10070465</wp:posOffset>
              </wp:positionV>
              <wp:extent cx="722630" cy="121920"/>
              <wp:wrapNone/>
              <wp:docPr id="5" name="Shape 5"/>
              <a:graphic xmlns:a="http://schemas.openxmlformats.org/drawingml/2006/main">
                <a:graphicData uri="http://schemas.microsoft.com/office/word/2010/wordprocessingShape">
                  <wps:wsp>
                    <wps:cNvSpPr txBox="1"/>
                    <wps:spPr>
                      <a:xfrm>
                        <a:ext cx="72263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2026-12256</w:t>
                          </w:r>
                        </w:p>
                      </w:txbxContent>
                    </wps:txbx>
                    <wps:bodyPr wrap="none" lIns="0" tIns="0" rIns="0" bIns="0">
                      <a:spAutoFit/>
                    </wps:bodyPr>
                  </wps:wsp>
                </a:graphicData>
              </a:graphic>
            </wp:anchor>
          </w:drawing>
        </mc:Choice>
        <mc:Fallback>
          <w:pict>
            <v:shape id="_x0000_s1031" type="#_x0000_t202" style="position:absolute;margin-left:61.550000000000004pt;margin-top:792.95000000000005pt;width:56.899999999999999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2026-12256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888365</wp:posOffset>
              </wp:positionH>
              <wp:positionV relativeFrom="page">
                <wp:posOffset>10037445</wp:posOffset>
              </wp:positionV>
              <wp:extent cx="722630" cy="121920"/>
              <wp:wrapNone/>
              <wp:docPr id="7" name="Shape 7"/>
              <a:graphic xmlns:a="http://schemas.openxmlformats.org/drawingml/2006/main">
                <a:graphicData uri="http://schemas.microsoft.com/office/word/2010/wordprocessingShape">
                  <wps:wsp>
                    <wps:cNvSpPr txBox="1"/>
                    <wps:spPr>
                      <a:xfrm>
                        <a:ext cx="72263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2026-12256</w:t>
                          </w:r>
                        </w:p>
                      </w:txbxContent>
                    </wps:txbx>
                    <wps:bodyPr wrap="none" lIns="0" tIns="0" rIns="0" bIns="0">
                      <a:spAutoFit/>
                    </wps:bodyPr>
                  </wps:wsp>
                </a:graphicData>
              </a:graphic>
            </wp:anchor>
          </w:drawing>
        </mc:Choice>
        <mc:Fallback>
          <w:pict>
            <v:shape id="_x0000_s1033" type="#_x0000_t202" style="position:absolute;margin-left:69.950000000000003pt;margin-top:790.35000000000002pt;width:56.899999999999999pt;height:9.59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2026-12256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628015</wp:posOffset>
              </wp:positionV>
              <wp:extent cx="76200" cy="69850"/>
              <wp:wrapNone/>
              <wp:docPr id="3" name="Shape 3"/>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25pt;margin-top:49.450000000000003pt;width:6.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Picture caption_"/>
    <w:basedOn w:val="DefaultParagraphFont"/>
    <w:link w:val="Style12"/>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Body text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14141"/>
      <w:sz w:val="12"/>
      <w:szCs w:val="12"/>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Picture caption"/>
    <w:basedOn w:val="Normal"/>
    <w:link w:val="CharStyle1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Body text (4)"/>
    <w:basedOn w:val="Normal"/>
    <w:link w:val="CharStyle22"/>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2)"/>
    <w:basedOn w:val="Normal"/>
    <w:link w:val="CharStyle24"/>
    <w:pPr>
      <w:widowControl w:val="0"/>
      <w:shd w:val="clear" w:color="auto" w:fill="auto"/>
      <w:ind w:left="4000"/>
    </w:pPr>
    <w:rPr>
      <w:rFonts w:ascii="Arial" w:eastAsia="Arial" w:hAnsi="Arial" w:cs="Arial"/>
      <w:b w:val="0"/>
      <w:bCs w:val="0"/>
      <w:i w:val="0"/>
      <w:iCs w:val="0"/>
      <w:smallCaps w:val="0"/>
      <w:strike w:val="0"/>
      <w:color w:val="414141"/>
      <w:sz w:val="12"/>
      <w:szCs w:val="12"/>
      <w:u w:val="none"/>
    </w:rPr>
  </w:style>
  <w:style w:type="paragraph" w:customStyle="1" w:styleId="Style28">
    <w:name w:val="Body text (5)"/>
    <w:basedOn w:val="Normal"/>
    <w:link w:val="CharStyle29"/>
    <w:pPr>
      <w:widowControl w:val="0"/>
      <w:shd w:val="clear" w:color="auto" w:fill="auto"/>
      <w:spacing w:after="10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s>
</file>