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12700</wp:posOffset>
                </wp:positionV>
                <wp:extent cx="2648585" cy="31121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8585" cy="3112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8"/>
                                <w:szCs w:val="178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78"/>
                                <w:szCs w:val="178"/>
                              </w:rPr>
                              <w:t>ж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76097"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76097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76097"/>
                                <w:sz w:val="19"/>
                                <w:szCs w:val="19"/>
                              </w:rPr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</w:rPr>
                              <w:t>пр. Ворошиловский, 2/2, офис 403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</w:rPr>
                              <w:t>г. Ростов-на-Дону, 344006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</w:rPr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"mailto:to61@fas.gov.ru"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  <w:lang w:val="en-US" w:eastAsia="en-US"/>
                              </w:rPr>
                              <w:t>to61@fas.gov.ru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>2.05.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СБ/7620/26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71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5.450000000000003pt;margin-top:1.pt;width:208.55000000000001pt;height:245.0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8"/>
                          <w:szCs w:val="178"/>
                        </w:rPr>
                      </w:pPr>
                      <w:r>
                        <w:rPr>
                          <w:rStyle w:val="CharStyle3"/>
                          <w:color w:val="476097"/>
                          <w:sz w:val="178"/>
                          <w:szCs w:val="178"/>
                        </w:rPr>
                        <w:t>ж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76097"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76097"/>
                          <w:sz w:val="19"/>
                          <w:szCs w:val="19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76097"/>
                          <w:sz w:val="19"/>
                          <w:szCs w:val="19"/>
                        </w:rPr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</w:rPr>
                        <w:t>пр. Ворошиловский, 2/2, офис 403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</w:rPr>
                        <w:t>г. Ростов-на-Дону, 344006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</w:rPr>
                        <w:t>тел. (863) 263-31-04, факс (863) 240-99-59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"mailto:to61@fas.gov.ru"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  <w:lang w:val="en-US" w:eastAsia="en-US"/>
                        </w:rPr>
                        <w:t>to61@fas.gov.ru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sz w:val="30"/>
                          <w:szCs w:val="30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>2.05.</w:t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2026</w:t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СБ/7620/26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71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3"/>
                          <w:color w:val="476097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52400" distB="0" distL="114300" distR="114300" simplePos="0" relativeHeight="125829380" behindDoc="0" locked="0" layoutInCell="1" allowOverlap="1">
            <wp:simplePos x="0" y="0"/>
            <wp:positionH relativeFrom="page">
              <wp:posOffset>697865</wp:posOffset>
            </wp:positionH>
            <wp:positionV relativeFrom="paragraph">
              <wp:posOffset>9403080</wp:posOffset>
            </wp:positionV>
            <wp:extent cx="1517650" cy="29273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40" w:right="0" w:firstLine="0"/>
        <w:jc w:val="left"/>
      </w:pPr>
      <w:r>
        <w:rPr>
          <w:rStyle w:val="CharStyle12"/>
          <w:b/>
          <w:bCs/>
        </w:rPr>
        <w:t xml:space="preserve">ООО «КАРАТ» (далее — Заявитель) </w:t>
      </w:r>
      <w:r>
        <w:rPr>
          <w:rStyle w:val="CharStyle12"/>
        </w:rPr>
        <w:t>ул. Танцорова, д. 37, кв. 90, г. Пермь, Пермский край, 614023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840" w:right="0" w:firstLine="0"/>
        <w:jc w:val="left"/>
      </w:pPr>
      <w:r>
        <w:fldChar w:fldCharType="begin"/>
      </w:r>
      <w:r>
        <w:rPr/>
        <w:instrText> HYPERLINK "mailto:karat.perm@mail.ru" </w:instrText>
      </w:r>
      <w:r>
        <w:fldChar w:fldCharType="separate"/>
      </w:r>
      <w:r>
        <w:rPr>
          <w:rStyle w:val="CharStyle12"/>
          <w:lang w:val="en-US" w:eastAsia="en-US"/>
        </w:rPr>
        <w:t>karat.perm@mail.ru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40" w:right="0" w:firstLine="0"/>
        <w:jc w:val="left"/>
      </w:pPr>
      <w:r>
        <w:rPr>
          <w:rStyle w:val="CharStyle12"/>
          <w:b/>
          <w:bCs/>
        </w:rPr>
        <w:t>ФГБУ «Центр лабораторного анализа и технических измерений по Южному федеральному округу»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40" w:right="0" w:firstLine="0"/>
        <w:jc w:val="left"/>
      </w:pPr>
      <w:r>
        <w:rPr>
          <w:rStyle w:val="CharStyle12"/>
          <w:b/>
          <w:bCs/>
        </w:rPr>
        <w:t>(далее – Заказчик)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220" w:right="0" w:firstLine="0"/>
        <w:jc w:val="left"/>
      </w:pPr>
      <w:r>
        <w:rPr>
          <w:rStyle w:val="CharStyle12"/>
        </w:rPr>
        <w:t xml:space="preserve">ул. Малиновского, д. 26А, г. Ростов-на-Дону, 344091 </w:t>
      </w:r>
      <w:r>
        <w:fldChar w:fldCharType="begin"/>
      </w:r>
      <w:r>
        <w:rPr/>
        <w:instrText> HYPERLINK "mailto:ufo@clati.ru" </w:instrText>
      </w:r>
      <w:r>
        <w:fldChar w:fldCharType="separate"/>
      </w:r>
      <w:r>
        <w:rPr>
          <w:rStyle w:val="CharStyle12"/>
          <w:lang w:val="en-US" w:eastAsia="en-US"/>
        </w:rPr>
        <w:t>ufo@clati.ru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20" w:right="0" w:firstLine="0"/>
        <w:jc w:val="left"/>
      </w:pPr>
      <w:r>
        <w:rPr>
          <w:rStyle w:val="CharStyle12"/>
          <w:b/>
          <w:bCs/>
        </w:rPr>
        <w:t xml:space="preserve">АО «Сбербанк-АСТ» (далее – Оператор электронной площадки)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2"/>
          <w:lang w:val="en-US" w:eastAsia="en-US"/>
        </w:rPr>
        <w:t>ko@sberbank-ast.ru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по результатам рассмотрения дела</w:t>
        <w:br/>
        <w:t>№061/06/105-1674/2026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19.05.2026 г. Ростов-на-Дону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Председатель Комиссии: С.В. Батурин, Члены Комиссии: В.Д. Кириленко,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40"/>
        <w:jc w:val="both"/>
      </w:pPr>
      <w:r>
        <w:rPr>
          <w:rStyle w:val="CharStyle12"/>
        </w:rPr>
        <w:t>А.А. Вертий, рассмотрев дело №061/06/105-1674/2026 по жалобе ООО «КАРАТ» о нарушении Заказчиком при проведении электронного аукциона №0318100067226000092 «Поставка сушильного шкафа для нужд ФГБУ "ЦЛАТИ по ЮФО"» (далее —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видео-конференц-связи (ВКС) в присутствии представителей Заказчика — Высоцкого С.И. (доверенность №110 от 15.05.2026), Пелипенко Л.В. (доверенность №111 от 15.05.2026), в отсутствие Заявителя, уведомленного надлежащим образом,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В Ростовское УФАС России поступила жалоба ООО «КАРАТ» на действия Заказчика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при формировании положений извещения о проведении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 в возражениях на жалобу: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отрицал нарушения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представил пояснения по доводам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ч.ч.1,3 ст.99 Закона, в ходе рассмотрения дела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2"/>
          <w:color w:val="000080"/>
          <w:lang w:val="en-US" w:eastAsia="en-US"/>
        </w:rPr>
        <w:t xml:space="preserve"> </w:t>
      </w:r>
      <w:r>
        <w:rPr>
          <w:rStyle w:val="CharStyle12"/>
          <w:lang w:val="en-US" w:eastAsia="en-US"/>
        </w:rPr>
        <w:t xml:space="preserve">04.05.2026 </w:t>
      </w:r>
      <w:r>
        <w:rPr>
          <w:rStyle w:val="CharStyle12"/>
        </w:rPr>
        <w:t xml:space="preserve">размещено извещение о проведении закупки </w:t>
      </w:r>
      <w:r>
        <w:rPr>
          <w:rStyle w:val="CharStyle12"/>
          <w:lang w:val="en-US" w:eastAsia="en-US"/>
        </w:rPr>
        <w:t xml:space="preserve">№0318100067226000092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Извещение), согласно которому: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установлены дата и время окончания подачи заявок </w:t>
      </w:r>
      <w:r>
        <w:rPr>
          <w:rStyle w:val="CharStyle12"/>
          <w:lang w:val="en-US" w:eastAsia="en-US"/>
        </w:rPr>
        <w:t xml:space="preserve">– 14.05.2026 09:00 </w:t>
      </w:r>
      <w:r>
        <w:rPr>
          <w:rStyle w:val="CharStyle12"/>
        </w:rPr>
        <w:t>(МСК);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составила </w:t>
      </w:r>
      <w:r>
        <w:rPr>
          <w:rStyle w:val="CharStyle12"/>
          <w:lang w:val="en-US" w:eastAsia="en-US"/>
        </w:rPr>
        <w:t xml:space="preserve">269 080, 32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Закупка осуществляется в рамках реализации национального проекта «Чистый воздух».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15.05.2026 </w:t>
      </w:r>
      <w:r>
        <w:rPr>
          <w:rStyle w:val="CharStyle12"/>
        </w:rPr>
        <w:t xml:space="preserve">№ИЭА1 на участие в закупке подано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>(девять) заявок, которые признаны соответствующими требованиям Закона и Извещения.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Согласно доводу жалобы, Заказчиком в нарушение Закона не представлено обоснование дополнительных характеристик, отсутствующих в Каталоге товаров, работ, услуг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КТРУ), а также неправомерно установлены конкретные требования к товару.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п.5 ч.1 ст.42 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п.1 ч.2 ст.42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(при отсутствии доказательств действительной необходимости в установлении таких требований).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Описание объекта закупки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 Такая фиксация требований заказчика позволяет идентифицировать объект закупки, установить результат, достижение которого признается со стороны заказчика должным исполнением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п.5 ч.1 ст.42 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ч.6 ст.23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Во исполнение ч.6 ст.23 Закона Правительством Российской Федерации принято Постановление от </w:t>
      </w:r>
      <w:r>
        <w:rPr>
          <w:rStyle w:val="CharStyle12"/>
          <w:lang w:val="en-US" w:eastAsia="en-US"/>
        </w:rPr>
        <w:t xml:space="preserve">08.02.2017 №145 </w:t>
      </w:r>
      <w:r>
        <w:rPr>
          <w:rStyle w:val="CharStyle12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Правила).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Правил закрепляет, что заказчики обязаны применять информацию, включенную в позицию каталога в соответствии с подпунктами «б»-«и» п.10 Правил, утвержденных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08.02.2017 №145, </w:t>
      </w:r>
      <w:r>
        <w:rPr>
          <w:rStyle w:val="CharStyle12"/>
        </w:rPr>
        <w:t>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п.7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42,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статьи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75 </w:t>
      </w:r>
      <w:r>
        <w:rPr>
          <w:rStyle w:val="CharStyle12"/>
        </w:rPr>
        <w:t>Федерального закона соответственно.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2"/>
          <w:lang w:val="en-US" w:eastAsia="en-US"/>
        </w:rPr>
        <w:t>034-2014.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Извещению, к поставке требуется товар «Сушильный шкаф» (код ОКПД2 </w:t>
      </w:r>
      <w:r>
        <w:rPr>
          <w:rStyle w:val="CharStyle12"/>
          <w:lang w:val="en-US" w:eastAsia="en-US"/>
        </w:rPr>
        <w:t xml:space="preserve">28.21.13.119 </w:t>
      </w:r>
      <w:r>
        <w:rPr>
          <w:rStyle w:val="CharStyle12"/>
        </w:rPr>
        <w:t>«Электропечи и камеры промышленные или лабораторные прочие, не включенные в другие группировки»).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Описание объекта закупки осуществлено Заказчиком в соответствии с требованиями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Закона, установлена характеристика к товару «Объем 80л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Наличие».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письменным пояснениям Заказчика, представленным в материалы дела, описание объекта закупки сформировано исходя из потребностей учреждения, особенностей работы и требований, предъявляемых к приобретаемому оборудованию. Установленный в Извещении объем обусловлен необходимостью обеспечения оптимальной загрузки выпарительных чашек при проведении исследований с учетом количества одновременно поступающих проб.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ч.2 ст.19 Закона,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этом, антимонопольный орган </w:t>
      </w:r>
      <w:r>
        <w:rPr>
          <w:rStyle w:val="CharStyle12"/>
          <w:u w:val="single"/>
        </w:rPr>
        <w:t>не наделен полномочиями проверять потребность Заказчика для решения возложенных на него задач.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Аналогичная правовая позиция изложена в Постановлении Арбитражного суда Северо-Кавказского округа от </w:t>
      </w:r>
      <w:r>
        <w:rPr>
          <w:rStyle w:val="CharStyle12"/>
          <w:lang w:val="en-US" w:eastAsia="en-US"/>
        </w:rPr>
        <w:t xml:space="preserve">10.02.2021 </w:t>
      </w:r>
      <w:r>
        <w:rPr>
          <w:rStyle w:val="CharStyle12"/>
        </w:rPr>
        <w:t xml:space="preserve">№Ф08- </w:t>
      </w:r>
      <w:r>
        <w:rPr>
          <w:rStyle w:val="CharStyle12"/>
          <w:lang w:val="en-US" w:eastAsia="en-US"/>
        </w:rPr>
        <w:t xml:space="preserve">12521/2020 </w:t>
      </w:r>
      <w:r>
        <w:rPr>
          <w:rStyle w:val="CharStyle12"/>
        </w:rPr>
        <w:t>по делу №А53-13738/2020.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Исходя из анализа положений ч.4 ст.106 Закона следует, что именно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в составе жалобы не указывает какие именно, по его мнению, позиции КТРУ надлежало применить Заказчику при формировании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явку своего представителя на заседанию Комиссии Ростовского УФАС России не обеспечил, а также не представил доказательств, однозначно свидетельствующих о неправомерности установления Заказчиком оспариваемых требований, равно как и об ограничении потенциального количества участников закупки путем установления спорных требований и лишении Заявителя подать заявку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Довод жалобы не нашел своего подтверждения.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Заявитель полагает, что описание объекта закупки позволяет принять участие в закупке с предложением товара единственного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Действия заказчика, сформировавшего требования к конкретному товару, обращающемуся на соответствующем рынке, могут быть признаны нарушением антимонопольного законодательства и законодательства о контрактной системе лишь в случае, когда они привели к необоснованному ограничению конкуренции, созданию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неоправданных барьеров хозяйствующим субъектам при реализации ими права на участие в конкурентных процедурах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Исходя из положений законодательства о контрактной системы в сфере закупок, ФАС России выработана правовая позиция, согласно которой объект закупки должен быть сформирован таким образом, чтобы совокупности характеристик товара соответствовало как минимум два производителя (Письмо от 19.04.2023г.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ПИ/30510/23, Письмо от </w:t>
      </w:r>
      <w:r>
        <w:rPr>
          <w:rStyle w:val="CharStyle12"/>
          <w:lang w:val="en-US" w:eastAsia="en-US"/>
        </w:rPr>
        <w:t>21.03.2025 № 28/26176/25).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Уведомлением от </w:t>
      </w:r>
      <w:r>
        <w:rPr>
          <w:rStyle w:val="CharStyle12"/>
          <w:lang w:val="en-US" w:eastAsia="en-US"/>
        </w:rPr>
        <w:t xml:space="preserve">14.05.2026 </w:t>
      </w:r>
      <w:r>
        <w:rPr>
          <w:rStyle w:val="CharStyle12"/>
        </w:rPr>
        <w:t>(исх.№СБ/7074/26) у сторон запрошена следующая информация: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u w:val="single"/>
        </w:rPr>
        <w:t>у Заказчика</w:t>
      </w:r>
      <w:r>
        <w:rPr>
          <w:rStyle w:val="CharStyle12"/>
        </w:rPr>
        <w:t>: письменное возражение по доводам жалобы, в котором в том числе указать: наименование (модель), как минимум 2 товаров различных производителей, отвечающих сформированному описанию объекта закупки (с указанием соответствия каждой характеристики исходя из официальной инструкции производителя товара), а также требованиям Постановления Правительства РФ от 23.12.2024 №1875 и положениям части 1.1. ст.33 Закона; - документы (информацию), на основании которых сформировано описание объекта закупки; - коммерческие предложения;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u w:val="single"/>
        </w:rPr>
        <w:t>у Заявителя</w:t>
      </w:r>
      <w:r>
        <w:rPr>
          <w:rStyle w:val="CharStyle12"/>
        </w:rPr>
        <w:t>: анализ рынка, данные, свидетельствующие о несоответствии иных товаров определенной Заказчиком совокупности характеристик приобретаемого товара (с указанием соответствия либо несоответствия каждой характеристики исходя из официальной инструкции производителя товара).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Заказчиком в материалы дела представлены информация (документы) о соответствии сформированному описанию объекта закупки не менее 2 (двух товаров):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«Шкаф сушильный ШС-80-01 СПУ» (производитель АО «Смоленское специальное конструкторско-технологическое бюро систем программного управления»);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«Шкаф сушильный ШС-80» (производитель АО «Смоленское специальное конструкторско-технологическое бюро систем программного управления»).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Заявитель в ответ на возражения Заказчика представил в материалы дела пояснения относительно наличии исключительно 2 (двух) товаров </w:t>
      </w:r>
      <w:r>
        <w:rPr>
          <w:rStyle w:val="CharStyle12"/>
          <w:u w:val="single"/>
        </w:rPr>
        <w:t>одного производителя</w:t>
      </w:r>
      <w:r>
        <w:rPr>
          <w:rStyle w:val="CharStyle12"/>
        </w:rPr>
        <w:t>, соответствующих требованиям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Исследовав представленную информацию, Комиссия Ростовского УФАС России приходит к выводу, что Заказчиком в материалы дела не представлены документы (сведения), подтверждающие соответствие товара иному производителю, кроме АО «Смоленское специальное конструкторско-технологическое бюро систем программного управления».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Кроме того довод жалобы подтверждается поданными заявками на участие в закупке, содержащими предложение о поставке товара вышеуказанного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При таких обстоятельствах, довод жалобы признан обоснованным, Заказчик — нарушившим ч.2 ст.42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Дополнительно Комиссия Ростовского УФАС России отмечает, что доводы жалобы о возможном нарушении антимонопольного законодательства образуют самостоятельный предмет для рассмотрения в соответствии с порядком, предусмотренным Федеральным законом от 26.07.2006 №135-ФЗ «О защите конкуренции», вследствие чего выходят за пределы рассмотрения жалобы о нарушении законодательства о контрактной системе в предусмотренном Законом порядке.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 учетом изложенного, Заявитель вправе подать соответствующее заявление в ФАС России или в соответствующий территориальный орган ФАС России, с учетом требований частей 1 и 2 статьи 44 Закона о защите конкуренции, а также приказа ФАС России №339.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рамках проведения в соответствии с ч.15 ст.99 Закона внеплановой проверки Комиссией Ростовского УФАС России установлено следующее.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п.17 ч.1 ст.42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</w:t>
      </w:r>
      <w:r>
        <w:rPr>
          <w:rStyle w:val="CharStyle12"/>
          <w:lang w:val="en-US" w:eastAsia="en-US"/>
        </w:rPr>
        <w:t xml:space="preserve">96 </w:t>
      </w:r>
      <w:r>
        <w:rPr>
          <w:rStyle w:val="CharStyle12"/>
        </w:rPr>
        <w:t>настоящего Федерального закона).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Установлено, что электронная версия Извещения не содержит информацию о реквизитах счета, на котором в соответствии с законодательством Российской Федерации учитываются операции со средствами, поступающими заказчику (Раздел "Платежные реквизиты", "Реквизиты счета для учета операций со средствами, поступающими заказчику"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"Номер расчетного счета" </w:t>
      </w:r>
      <w:r>
        <w:rPr>
          <w:rStyle w:val="CharStyle12"/>
          <w:lang w:val="en-US" w:eastAsia="en-US"/>
        </w:rPr>
        <w:t>00000000000000000000).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Указание такой информации в приложенных документах не исключает обязанности Заказчика по ее отражению в Извещении, что прямо предусмотрено вышеуказанной нормой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При таких обстоятельствах, в действиях Заказчика установлено нарушение ч.1 ст.42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п.1 ч.1 ст.33 Закона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ч.2 ст.33 Закона описание объекта закупки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2"/>
        </w:rPr>
        <w:t xml:space="preserve">Заказчиком в описании объекта закупки установлены следующие характеристики к товарам </w:t>
      </w:r>
      <w:r>
        <w:rPr>
          <w:rStyle w:val="CharStyle12"/>
          <w:i/>
          <w:iCs/>
        </w:rPr>
        <w:t>(выборочно из описания объекта закупки, перечень не является исчерпывающим)</w:t>
      </w:r>
      <w:r>
        <w:rPr>
          <w:rStyle w:val="CharStyle12"/>
        </w:rPr>
        <w:t>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2"/>
          <w:sz w:val="24"/>
          <w:szCs w:val="24"/>
        </w:rPr>
        <w:t>Аттестация Наличие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этом изложенные в описании объекта закупки требования к товару не являются функциональными, техническими и качественными характеристиками товара, а являются подтверждением его качества и соответствия установленным требованиям и определяют условия поставки товаров, на которые участник закупки соглашается при подаче заявки.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изложенного, при описании объекта закупки Заказчик нарушил ч.2 ст.42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Постановления Правительства РФ от 26.08.2013г. </w:t>
      </w:r>
      <w:r>
        <w:rPr>
          <w:rStyle w:val="CharStyle12"/>
          <w:lang w:val="en-US" w:eastAsia="en-US"/>
        </w:rPr>
        <w:t>№728,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>в соответствии с ч.15 ст.99, ч.8 ст.106 Закона,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72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2"/>
        </w:rPr>
        <w:t>Признать жалобу ООО «КАРАТ» частично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72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2"/>
        </w:rPr>
        <w:t>Признать Заказчика нарушившим ч.ч.1,2 ст.42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2"/>
        </w:rPr>
        <w:t>Выдать обязательное для исполнения предписание об отмене всех сформированных протоколов, внесении изменений в извещение согласно нормам Закона и с учетом настоящего решения.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48" w:val="left"/>
        </w:tabs>
        <w:bidi w:val="0"/>
        <w:spacing w:before="0" w:after="260" w:line="240" w:lineRule="auto"/>
        <w:ind w:left="0" w:right="0" w:firstLine="480"/>
        <w:jc w:val="both"/>
      </w:pPr>
      <w:r>
        <w:rPr>
          <w:rStyle w:val="CharStyle12"/>
        </w:rPr>
        <w:t>Рассмотреть вопрос о привлечении виновного должностного лица Заказчика к административной ответственности.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</w:pPr>
      <w:r>
        <w:rPr>
          <w:rStyle w:val="CharStyle3"/>
          <w:sz w:val="22"/>
          <w:szCs w:val="22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36" w:right="505" w:bottom="1188" w:left="107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04800" distB="365760" distL="0" distR="0" simplePos="0" relativeHeight="125829381" behindDoc="0" locked="0" layoutInCell="1" allowOverlap="1">
                <wp:simplePos x="0" y="0"/>
                <wp:positionH relativeFrom="page">
                  <wp:posOffset>743585</wp:posOffset>
                </wp:positionH>
                <wp:positionV relativeFrom="paragraph">
                  <wp:posOffset>304800</wp:posOffset>
                </wp:positionV>
                <wp:extent cx="1697990" cy="2254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550000000000004pt;margin-top:24.pt;width:133.69999999999999pt;height:17.75pt;z-index:-125829372;mso-wrap-distance-left:0;mso-wrap-distance-top:24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4650" distB="0" distL="0" distR="1786255" simplePos="0" relativeHeight="125829383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374650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779780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5pt;margin-top:61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462915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34999999999999pt;margin-top:36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127635" distL="0" distR="0" simplePos="0" relativeHeight="125829384" behindDoc="0" locked="0" layoutInCell="1" allowOverlap="1">
                <wp:simplePos x="0" y="0"/>
                <wp:positionH relativeFrom="page">
                  <wp:posOffset>6245225</wp:posOffset>
                </wp:positionH>
                <wp:positionV relativeFrom="paragraph">
                  <wp:posOffset>533400</wp:posOffset>
                </wp:positionV>
                <wp:extent cx="944880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48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С.В. Батурин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1.75pt;margin-top:42.pt;width:74.400000000000006pt;height:18.5pt;z-index:-125829369;mso-wrap-distance-left:0;mso-wrap-distance-top:42.pt;mso-wrap-distance-right:0;mso-wrap-distance-bottom:10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С.В. Батурин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Батурин Сергей Владимирович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00В1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F104B60F31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821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 xml:space="preserve">C22DFDC2F458971 </w:t>
      </w:r>
      <w:r>
        <w:rPr>
          <w:rStyle w:val="CharStyle3"/>
          <w:rFonts w:ascii="Arial" w:eastAsia="Arial" w:hAnsi="Arial" w:cs="Arial"/>
          <w:color w:val="595959"/>
          <w:sz w:val="12"/>
          <w:szCs w:val="12"/>
        </w:rPr>
        <w:t>ОС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14.01.2026 </w:t>
      </w:r>
      <w:r>
        <w:rPr>
          <w:rStyle w:val="CharStyle3"/>
          <w:rFonts w:ascii="Arial" w:eastAsia="Arial" w:hAnsi="Arial" w:cs="Arial"/>
          <w:color w:val="595959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09.04.2027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55000000000001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40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В.Д. Кириленко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Кириленко Вероника Дмитриевна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00864D0A03EBFDFD285B3099D538409B42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06.02.2026 </w:t>
      </w:r>
      <w:r>
        <w:rPr>
          <w:rStyle w:val="CharStyle3"/>
          <w:rFonts w:ascii="Arial" w:eastAsia="Arial" w:hAnsi="Arial" w:cs="Arial"/>
          <w:color w:val="595959"/>
          <w:sz w:val="12"/>
          <w:szCs w:val="12"/>
        </w:rPr>
        <w:t>по 02.05.2027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2627630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55000000000001pt;margin-top:36.550000000000004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40000000000001pt;margin-top:11.6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Вертий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Вертий Анастасия Андреевна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00D4D4F1DFE717296C58BFB6A386492D7A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8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04.08.2025 </w:t>
      </w:r>
      <w:r>
        <w:rPr>
          <w:rStyle w:val="CharStyle3"/>
          <w:rFonts w:ascii="Arial" w:eastAsia="Arial" w:hAnsi="Arial" w:cs="Arial"/>
          <w:color w:val="595959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28.10.2026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"/>
          <w:sz w:val="16"/>
          <w:szCs w:val="16"/>
        </w:rPr>
        <w:t>Исп.Вертий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"/>
          <w:sz w:val="16"/>
          <w:szCs w:val="16"/>
        </w:rPr>
        <w:t>тел.(863) 240-86-88, вн.061-182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02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10001885</wp:posOffset>
              </wp:positionV>
              <wp:extent cx="326136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136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2026-8442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87.55000000000007pt;width:256.80000000000001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2026-8442</w:t>
                      <w:tab/>
                    </w:r>
                    <w:fldSimple w:instr=" PAGE \* MERGEFORMAT ">
                      <w:r>
                        <w:rPr>
                          <w:rStyle w:val="CharStyle1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10001885</wp:posOffset>
              </wp:positionV>
              <wp:extent cx="643255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  <w:lang w:val="ru-RU" w:eastAsia="ru-RU"/>
                            </w:rPr>
                            <w:t>2026-8442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5.700000000000003pt;margin-top:787.55000000000007pt;width:50.64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  <w:lang w:val="ru-RU" w:eastAsia="ru-RU"/>
                      </w:rPr>
                      <w:t>2026-8442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Ростовского УФАС России от 13.02.2025 N 061/06/42-319/2025, 061/06/42-320/2025Нарушение: ч. 3 ст. 14, ч.ч. 1, 2 ст. 42, ч. 22 ст. 99 Закона о контрактной системе.Решение: Признать жалобу обоснованной; признать жалобу частично обоснованной; выдать предписание об устранении нарушений.</dc:title>
  <dc:subject/>
  <dc:creator/>
  <cp:keywords/>
</cp:coreProperties>
</file>