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rStyle w:val="CharStyle3"/>
        </w:rPr>
        <w:t>ж</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rStyle w:val="CharStyle11"/>
          <w:b/>
          <w:bCs/>
        </w:rPr>
        <w:t>УПРАВЛЕНИЕ</w:t>
      </w:r>
    </w:p>
    <w:p>
      <w:pPr>
        <w:pStyle w:val="Style10"/>
        <w:keepNext w:val="0"/>
        <w:keepLines w:val="0"/>
        <w:widowControl w:val="0"/>
        <w:shd w:val="clear" w:color="auto" w:fill="auto"/>
        <w:bidi w:val="0"/>
        <w:spacing w:before="0" w:after="420"/>
        <w:ind w:left="0" w:right="0" w:firstLine="0"/>
        <w:jc w:val="center"/>
      </w:pPr>
      <w:r>
        <w:rPr>
          <w:rStyle w:val="CharStyle11"/>
          <w:b/>
          <w:bCs/>
        </w:rPr>
        <w:t>Федеральной антимонопольной службы</w:t>
        <w:br/>
        <w:t>по Липецкой области</w:t>
      </w:r>
    </w:p>
    <w:p>
      <w:pPr>
        <w:pStyle w:val="Style7"/>
        <w:keepNext w:val="0"/>
        <w:keepLines w:val="0"/>
        <w:widowControl w:val="0"/>
        <w:shd w:val="clear" w:color="auto" w:fill="auto"/>
        <w:bidi w:val="0"/>
        <w:spacing w:before="0" w:after="0" w:line="269" w:lineRule="auto"/>
        <w:ind w:left="0" w:right="0" w:firstLine="0"/>
        <w:jc w:val="center"/>
      </w:pPr>
      <w:r>
        <w:rPr>
          <w:rStyle w:val="CharStyle8"/>
        </w:rPr>
        <w:t>пл. Плеханова, 1, г. Липецк, 398050</w:t>
        <w:br/>
        <w:t>тел./факс (4742) 27-14-82</w:t>
      </w:r>
    </w:p>
    <w:p>
      <w:pPr>
        <w:pStyle w:val="Style7"/>
        <w:keepNext w:val="0"/>
        <w:keepLines w:val="0"/>
        <w:widowControl w:val="0"/>
        <w:shd w:val="clear" w:color="auto" w:fill="auto"/>
        <w:bidi w:val="0"/>
        <w:spacing w:before="0" w:after="0" w:line="269" w:lineRule="auto"/>
        <w:ind w:left="0" w:right="0" w:firstLine="0"/>
        <w:jc w:val="center"/>
      </w:pPr>
      <w:r>
        <w:rPr>
          <w:rStyle w:val="CharStyle8"/>
          <w:lang w:val="en-US" w:eastAsia="en-US"/>
        </w:rPr>
        <w:t xml:space="preserve">e-mail: </w:t>
      </w:r>
      <w:r>
        <w:fldChar w:fldCharType="begin"/>
      </w:r>
      <w:r>
        <w:rPr/>
        <w:instrText> HYPERLINK "mailto:to48@fas.gov.ru" </w:instrText>
      </w:r>
      <w:r>
        <w:fldChar w:fldCharType="separate"/>
      </w:r>
      <w:r>
        <w:rPr>
          <w:rStyle w:val="CharStyle8"/>
          <w:lang w:val="en-US" w:eastAsia="en-US"/>
        </w:rPr>
        <w:t>to48@fas.gov.ru</w:t>
      </w:r>
      <w:r>
        <w:fldChar w:fldCharType="end"/>
      </w:r>
      <w:r>
        <w:rPr>
          <w:rStyle w:val="CharStyle8"/>
          <w:lang w:val="en-US" w:eastAsia="en-US"/>
        </w:rPr>
        <w:t xml:space="preserve"> </w:t>
      </w:r>
      <w:r>
        <w:fldChar w:fldCharType="begin"/>
      </w:r>
      <w:r>
        <w:rPr/>
        <w:instrText> HYPERLINK "http://lipetsk.fas.gov.ru" </w:instrText>
      </w:r>
      <w:r>
        <w:fldChar w:fldCharType="separate"/>
      </w:r>
      <w:r>
        <w:rPr>
          <w:rStyle w:val="CharStyle8"/>
          <w:lang w:val="en-US" w:eastAsia="en-US"/>
        </w:rPr>
        <w:t>http://lipetsk.fas.gov.ru</w:t>
      </w:r>
      <w:r>
        <w:fldChar w:fldCharType="end"/>
      </w:r>
    </w:p>
    <w:p>
      <w:pPr>
        <w:pStyle w:val="Style12"/>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3"/>
          <w:u w:val="none"/>
        </w:rPr>
        <w:t>2</w:t>
      </w:r>
      <w:r>
        <w:fldChar w:fldCharType="begin"/>
      </w:r>
      <w:r>
        <w:rPr/>
        <w:instrText> HYPERLINK "file://f207ca94-a13c-4ba0-b72d-f018c9eed8f1/" </w:instrText>
      </w:r>
      <w:r>
        <w:fldChar w:fldCharType="separate"/>
      </w:r>
      <w:r>
        <w:rPr>
          <w:rStyle w:val="CharStyle13"/>
          <w:u w:val="none"/>
        </w:rPr>
        <w:t>1.05.</w:t>
      </w:r>
      <w:r>
        <w:rPr>
          <w:rStyle w:val="CharStyle13"/>
        </w:rPr>
        <w:t>2026</w:t>
      </w:r>
      <w:r>
        <w:rPr>
          <w:rStyle w:val="CharStyle13"/>
          <w:u w:val="none"/>
        </w:rPr>
        <w:tab/>
      </w:r>
      <w:r>
        <w:fldChar w:fldCharType="end"/>
      </w:r>
      <w:r>
        <w:rPr>
          <w:rStyle w:val="CharStyle13"/>
          <w:u w:val="none"/>
        </w:rPr>
        <w:t xml:space="preserve">№ </w:t>
      </w:r>
      <w:r>
        <w:rPr>
          <w:rStyle w:val="CharStyle13"/>
        </w:rPr>
        <w:t>ИП/3344/2</w:t>
      </w:r>
      <w:r>
        <w:rPr>
          <w:rStyle w:val="CharStyle13"/>
          <w:u w:val="none"/>
        </w:rPr>
        <w:t>6</w:t>
      </w:r>
      <w:bookmarkEnd w:id="0"/>
    </w:p>
    <w:p>
      <w:pPr>
        <w:pStyle w:val="Style10"/>
        <w:keepNext w:val="0"/>
        <w:keepLines w:val="0"/>
        <w:widowControl w:val="0"/>
        <w:shd w:val="clear" w:color="auto" w:fill="auto"/>
        <w:bidi w:val="0"/>
        <w:spacing w:before="0" w:after="0" w:line="266" w:lineRule="auto"/>
        <w:ind w:left="0" w:right="0" w:firstLine="0"/>
        <w:jc w:val="center"/>
        <w:rPr>
          <w:sz w:val="18"/>
          <w:szCs w:val="18"/>
        </w:rPr>
      </w:pPr>
      <w:r>
        <w:rPr>
          <w:rStyle w:val="CharStyle11"/>
          <w:sz w:val="18"/>
          <w:szCs w:val="18"/>
        </w:rPr>
        <w:t xml:space="preserve">На №  от</w:t>
      </w:r>
    </w:p>
    <w:p>
      <w:pPr>
        <w:pStyle w:val="Style16"/>
        <w:keepNext w:val="0"/>
        <w:keepLines w:val="0"/>
        <w:widowControl w:val="0"/>
        <w:shd w:val="clear" w:color="auto" w:fill="auto"/>
        <w:bidi w:val="0"/>
        <w:spacing w:before="0" w:after="280" w:line="240" w:lineRule="auto"/>
        <w:ind w:left="0" w:right="0" w:firstLine="0"/>
        <w:jc w:val="left"/>
      </w:pPr>
      <w:r>
        <w:rPr>
          <w:rStyle w:val="CharStyle17"/>
        </w:rPr>
        <w:t xml:space="preserve">АО «Сбербанк-АСТ» </w:t>
      </w:r>
      <w:r>
        <w:fldChar w:fldCharType="begin"/>
      </w:r>
      <w:r>
        <w:rPr/>
        <w:instrText> HYPERLINK "mailto:ko@sberbank-ast.ru" </w:instrText>
      </w:r>
      <w:r>
        <w:fldChar w:fldCharType="separate"/>
      </w:r>
      <w:r>
        <w:rPr>
          <w:rStyle w:val="CharStyle17"/>
          <w:lang w:val="en-US" w:eastAsia="en-US"/>
        </w:rPr>
        <w:t>ko@sberbank-ast.ru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Государственное учреждение здравоохранения "Липецкая районная больница"</w:t>
      </w:r>
    </w:p>
    <w:p>
      <w:pPr>
        <w:pStyle w:val="Style16"/>
        <w:keepNext w:val="0"/>
        <w:keepLines w:val="0"/>
        <w:widowControl w:val="0"/>
        <w:shd w:val="clear" w:color="auto" w:fill="auto"/>
        <w:bidi w:val="0"/>
        <w:spacing w:before="0" w:after="280" w:line="240" w:lineRule="auto"/>
        <w:ind w:left="0" w:right="0" w:firstLine="0"/>
        <w:jc w:val="left"/>
      </w:pPr>
      <w:r>
        <w:fldChar w:fldCharType="begin"/>
      </w:r>
      <w:r>
        <w:rPr/>
        <w:instrText> HYPERLINK "mailto:lipetskaya-rb@zdrav48.ru" </w:instrText>
      </w:r>
      <w:r>
        <w:fldChar w:fldCharType="separate"/>
      </w:r>
      <w:r>
        <w:rPr>
          <w:rStyle w:val="CharStyle17"/>
          <w:lang w:val="en-US" w:eastAsia="en-US"/>
        </w:rPr>
        <w:t>lipetskaya-rb@zdrav48.ru</w:t>
      </w:r>
      <w:r>
        <w:fldChar w:fldCharType="end"/>
      </w:r>
      <w:r>
        <w:rPr>
          <w:rStyle w:val="CharStyle17"/>
          <w:lang w:val="en-US" w:eastAsia="en-US"/>
        </w:rPr>
        <w:t xml:space="preserve">, </w:t>
      </w:r>
      <w:r>
        <w:fldChar w:fldCharType="begin"/>
      </w:r>
      <w:r>
        <w:rPr/>
        <w:instrText> HYPERLINK "mailto:gyzlcrb@yandex.ru" </w:instrText>
      </w:r>
      <w:r>
        <w:fldChar w:fldCharType="separate"/>
      </w:r>
      <w:r>
        <w:rPr>
          <w:rStyle w:val="CharStyle17"/>
          <w:lang w:val="en-US" w:eastAsia="en-US"/>
        </w:rPr>
        <w:t>gyzlcrb@yandex.ru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Индивидуальный предприниматель</w:t>
      </w:r>
    </w:p>
    <w:p>
      <w:pPr>
        <w:pStyle w:val="Style16"/>
        <w:keepNext w:val="0"/>
        <w:keepLines w:val="0"/>
        <w:widowControl w:val="0"/>
        <w:shd w:val="clear" w:color="auto" w:fill="auto"/>
        <w:bidi w:val="0"/>
        <w:spacing w:before="0" w:after="280" w:line="240" w:lineRule="auto"/>
        <w:ind w:left="0" w:right="0" w:firstLine="0"/>
        <w:jc w:val="left"/>
      </w:pPr>
      <w:r>
        <w:rPr>
          <w:rStyle w:val="CharStyle17"/>
        </w:rPr>
        <w:t xml:space="preserve">Кравченко Алексей Викторович </w:t>
      </w:r>
      <w:r>
        <w:fldChar w:fldCharType="begin"/>
      </w:r>
      <w:r>
        <w:rPr/>
        <w:instrText> HYPERLINK "mailto:info@gosfarm.ru" </w:instrText>
      </w:r>
      <w:r>
        <w:fldChar w:fldCharType="separate"/>
      </w:r>
      <w:r>
        <w:rPr>
          <w:rStyle w:val="CharStyle17"/>
          <w:lang w:val="en-US" w:eastAsia="en-US"/>
        </w:rPr>
        <w:t>info@gosfarm.ru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Областное казенное учреждение "Управление по размещению госзаказа Липецкой области"</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58" w:right="791" w:bottom="1216" w:left="1135" w:header="0" w:footer="3" w:gutter="0"/>
          <w:pgNumType w:start="1"/>
          <w:cols w:num="2" w:space="720" w:equalWidth="0">
            <w:col w:w="4229" w:space="1042"/>
            <w:col w:w="4704"/>
          </w:cols>
          <w:noEndnote/>
          <w:titlePg/>
          <w:rtlGutter w:val="0"/>
          <w:docGrid w:linePitch="360"/>
        </w:sectPr>
      </w:pPr>
      <w:r>
        <w:fldChar w:fldCharType="begin"/>
      </w:r>
      <w:r>
        <w:rPr/>
        <w:instrText> HYPERLINK "mailto:reception_goszakaz@admlr.lipetsk.ru" </w:instrText>
      </w:r>
      <w:r>
        <w:fldChar w:fldCharType="separate"/>
      </w:r>
      <w:r>
        <w:rPr>
          <w:rStyle w:val="CharStyle17"/>
          <w:lang w:val="en-US" w:eastAsia="en-US"/>
        </w:rPr>
        <w:t>reception_goszakaz@admlr.lipetsk.ru</w:t>
      </w:r>
      <w:r>
        <w:fldChar w:fldCharType="end"/>
      </w:r>
    </w:p>
    <w:p>
      <w:pPr>
        <w:widowControl w:val="0"/>
        <w:spacing w:line="132" w:lineRule="exact"/>
        <w:rPr>
          <w:sz w:val="11"/>
          <w:szCs w:val="11"/>
        </w:rPr>
      </w:pPr>
    </w:p>
    <w:p>
      <w:pPr>
        <w:widowControl w:val="0"/>
        <w:spacing w:line="1" w:lineRule="exact"/>
        <w:sectPr>
          <w:footnotePr>
            <w:pos w:val="pageBottom"/>
            <w:numFmt w:val="decimal"/>
            <w:numRestart w:val="continuous"/>
          </w:footnotePr>
          <w:type w:val="continuous"/>
          <w:pgSz w:w="11900" w:h="16840"/>
          <w:pgMar w:top="58" w:right="0" w:bottom="1216" w:left="0" w:header="0" w:footer="3" w:gutter="0"/>
          <w:cols w:space="720"/>
          <w:noEndnote/>
          <w:rtlGutter w:val="0"/>
          <w:docGrid w:linePitch="360"/>
        </w:sectPr>
      </w:pPr>
    </w:p>
    <w:p>
      <w:pPr>
        <w:pStyle w:val="Style16"/>
        <w:keepNext w:val="0"/>
        <w:keepLines w:val="0"/>
        <w:widowControl w:val="0"/>
        <w:shd w:val="clear" w:color="auto" w:fill="auto"/>
        <w:bidi w:val="0"/>
        <w:spacing w:before="0" w:after="280" w:line="240" w:lineRule="auto"/>
        <w:ind w:left="0" w:right="0" w:firstLine="0"/>
        <w:jc w:val="center"/>
      </w:pPr>
      <w:r>
        <w:rPr>
          <w:rStyle w:val="CharStyle17"/>
        </w:rPr>
        <w:t>РЕШЕНИЕ № 048/06/105-465/2026</w:t>
      </w:r>
    </w:p>
    <w:p>
      <w:pPr>
        <w:pStyle w:val="Style16"/>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6362700</wp:posOffset>
                </wp:positionH>
                <wp:positionV relativeFrom="paragraph">
                  <wp:posOffset>12700</wp:posOffset>
                </wp:positionV>
                <wp:extent cx="746760" cy="252730"/>
                <wp:wrapSquare wrapText="left"/>
                <wp:docPr id="5" name="Shape 5"/>
                <a:graphic xmlns:a="http://schemas.openxmlformats.org/drawingml/2006/main">
                  <a:graphicData uri="http://schemas.microsoft.com/office/word/2010/wordprocessingShape">
                    <wps:wsp>
                      <wps:cNvSpPr txBox="1"/>
                      <wps:spPr>
                        <a:xfrm>
                          <a:ext cx="74676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г. Липецк</w:t>
                            </w:r>
                          </w:p>
                        </w:txbxContent>
                      </wps:txbx>
                      <wps:bodyPr wrap="none" lIns="0" tIns="0" rIns="0" bIns="0">
                        <a:noAutoFit/>
                      </wps:bodyPr>
                    </wps:wsp>
                  </a:graphicData>
                </a:graphic>
              </wp:anchor>
            </w:drawing>
          </mc:Choice>
          <mc:Fallback>
            <w:pict>
              <v:shape id="_x0000_s1031" type="#_x0000_t202" style="position:absolute;margin-left:501.pt;margin-top:1.pt;width:58.800000000000004pt;height:19.900000000000002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г. Липецк</w:t>
                      </w:r>
                    </w:p>
                  </w:txbxContent>
                </v:textbox>
                <w10:wrap type="square" side="left" anchorx="page"/>
              </v:shape>
            </w:pict>
          </mc:Fallback>
        </mc:AlternateContent>
      </w:r>
      <w:r>
        <w:rPr>
          <w:rStyle w:val="CharStyle17"/>
        </w:rPr>
        <w:t>«19» мая 2026 года</w:t>
      </w:r>
    </w:p>
    <w:p>
      <w:pPr>
        <w:pStyle w:val="Style16"/>
        <w:keepNext w:val="0"/>
        <w:keepLines w:val="0"/>
        <w:widowControl w:val="0"/>
        <w:shd w:val="clear" w:color="auto" w:fill="auto"/>
        <w:bidi w:val="0"/>
        <w:spacing w:before="0" w:after="0" w:line="240" w:lineRule="auto"/>
        <w:ind w:left="0" w:right="0" w:firstLine="600"/>
        <w:jc w:val="both"/>
      </w:pPr>
      <w:r>
        <w:rPr>
          <w:rStyle w:val="CharStyle17"/>
        </w:rPr>
        <w:t>Резолютивная часть решения оглашена 19.05.2026.</w:t>
      </w:r>
    </w:p>
    <w:p>
      <w:pPr>
        <w:pStyle w:val="Style16"/>
        <w:keepNext w:val="0"/>
        <w:keepLines w:val="0"/>
        <w:widowControl w:val="0"/>
        <w:shd w:val="clear" w:color="auto" w:fill="auto"/>
        <w:bidi w:val="0"/>
        <w:spacing w:before="0" w:after="280" w:line="240" w:lineRule="auto"/>
        <w:ind w:left="0" w:right="0" w:firstLine="600"/>
        <w:jc w:val="both"/>
      </w:pPr>
      <w:r>
        <w:rPr>
          <w:rStyle w:val="CharStyle17"/>
        </w:rPr>
        <w:t>Решение в полном объеме изготовлено 21.05.2026.</w:t>
      </w:r>
    </w:p>
    <w:p>
      <w:pPr>
        <w:pStyle w:val="Style16"/>
        <w:keepNext w:val="0"/>
        <w:keepLines w:val="0"/>
        <w:widowControl w:val="0"/>
        <w:shd w:val="clear" w:color="auto" w:fill="auto"/>
        <w:bidi w:val="0"/>
        <w:spacing w:before="0" w:after="0" w:line="240" w:lineRule="auto"/>
        <w:ind w:left="0" w:right="0" w:firstLine="600"/>
        <w:jc w:val="both"/>
      </w:pPr>
      <w:r>
        <w:rPr>
          <w:rStyle w:val="CharStyle17"/>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6"/>
        <w:keepNext w:val="0"/>
        <w:keepLines w:val="0"/>
        <w:widowControl w:val="0"/>
        <w:shd w:val="clear" w:color="auto" w:fill="auto"/>
        <w:bidi w:val="0"/>
        <w:spacing w:before="0" w:after="0" w:line="240" w:lineRule="auto"/>
        <w:ind w:left="0" w:right="0" w:firstLine="600"/>
        <w:jc w:val="both"/>
      </w:pPr>
      <w:r>
        <w:rPr>
          <w:rStyle w:val="CharStyle17"/>
        </w:rPr>
        <w:t>председатель Комиссии: И.В. Поткина – руководитель управления,</w:t>
      </w:r>
    </w:p>
    <w:p>
      <w:pPr>
        <w:pStyle w:val="Style16"/>
        <w:keepNext w:val="0"/>
        <w:keepLines w:val="0"/>
        <w:widowControl w:val="0"/>
        <w:shd w:val="clear" w:color="auto" w:fill="auto"/>
        <w:bidi w:val="0"/>
        <w:spacing w:before="0" w:after="0" w:line="240" w:lineRule="auto"/>
        <w:ind w:left="0" w:right="0" w:firstLine="600"/>
        <w:jc w:val="both"/>
      </w:pPr>
      <w:r>
        <w:rPr>
          <w:rStyle w:val="CharStyle17"/>
        </w:rPr>
        <w:t>члены Комиссии: В.И. Аникеева – ведущий специалист-эксперт отдела контроля закупок и торгов, Ю.П. Хорина - специалист-эксперт отдела контроля закупок и торгов,</w:t>
      </w:r>
    </w:p>
    <w:p>
      <w:pPr>
        <w:pStyle w:val="Style16"/>
        <w:keepNext w:val="0"/>
        <w:keepLines w:val="0"/>
        <w:widowControl w:val="0"/>
        <w:shd w:val="clear" w:color="auto" w:fill="auto"/>
        <w:bidi w:val="0"/>
        <w:spacing w:before="0" w:after="0" w:line="240" w:lineRule="auto"/>
        <w:ind w:left="0" w:right="0" w:firstLine="600"/>
        <w:jc w:val="both"/>
      </w:pPr>
      <w:r>
        <w:rPr>
          <w:rStyle w:val="CharStyle17"/>
        </w:rPr>
        <w:t>при участии посредством видеоконференцсвязи представителей:</w:t>
      </w:r>
    </w:p>
    <w:p>
      <w:pPr>
        <w:pStyle w:val="Style16"/>
        <w:keepNext w:val="0"/>
        <w:keepLines w:val="0"/>
        <w:widowControl w:val="0"/>
        <w:numPr>
          <w:ilvl w:val="0"/>
          <w:numId w:val="1"/>
        </w:numPr>
        <w:shd w:val="clear" w:color="auto" w:fill="auto"/>
        <w:tabs>
          <w:tab w:pos="862" w:val="left"/>
        </w:tabs>
        <w:bidi w:val="0"/>
        <w:spacing w:before="0" w:after="0" w:line="240" w:lineRule="auto"/>
        <w:ind w:left="0" w:right="0" w:firstLine="600"/>
        <w:jc w:val="both"/>
      </w:pPr>
      <w:r>
        <w:rPr>
          <w:rStyle w:val="CharStyle17"/>
        </w:rPr>
        <w:t>областного казенного учреждения "Управление по размещению госзаказа Липецкой области" (далее - уполномоченное учреждение): Е.А. Одровой (по доверенности),</w:t>
      </w:r>
    </w:p>
    <w:p>
      <w:pPr>
        <w:pStyle w:val="Style16"/>
        <w:keepNext w:val="0"/>
        <w:keepLines w:val="0"/>
        <w:widowControl w:val="0"/>
        <w:numPr>
          <w:ilvl w:val="0"/>
          <w:numId w:val="1"/>
        </w:numPr>
        <w:shd w:val="clear" w:color="auto" w:fill="auto"/>
        <w:tabs>
          <w:tab w:pos="853" w:val="left"/>
        </w:tabs>
        <w:bidi w:val="0"/>
        <w:spacing w:before="0" w:after="0" w:line="240" w:lineRule="auto"/>
        <w:ind w:left="0" w:right="0" w:firstLine="600"/>
        <w:jc w:val="both"/>
      </w:pPr>
      <w:r>
        <w:rPr>
          <w:rStyle w:val="CharStyle17"/>
        </w:rPr>
        <w:t>государственного учреждения здравоохранения "Липецкая районная больница" (далее-заказчик): О.В. Санжаровской (по доверенности),</w:t>
      </w:r>
    </w:p>
    <w:p>
      <w:pPr>
        <w:pStyle w:val="Style16"/>
        <w:keepNext w:val="0"/>
        <w:keepLines w:val="0"/>
        <w:widowControl w:val="0"/>
        <w:shd w:val="clear" w:color="auto" w:fill="auto"/>
        <w:bidi w:val="0"/>
        <w:spacing w:before="0" w:after="200" w:line="240" w:lineRule="auto"/>
        <w:ind w:left="0" w:right="0" w:firstLine="600"/>
        <w:jc w:val="both"/>
      </w:pPr>
      <w:r>
        <w:rPr>
          <w:rStyle w:val="CharStyle17"/>
        </w:rPr>
        <w:t>рассмотрев жалобу индивидуального предпринимателя Кравченко Алексея Викторовича на положение извещения при проведении электронного аукциона на выполнению работ по осуществлению капитального ремонта зданий медицинских</w:t>
      </w:r>
    </w:p>
    <w:p>
      <w:pPr>
        <w:pStyle w:val="Style18"/>
        <w:keepNext/>
        <w:keepLines/>
        <w:widowControl w:val="0"/>
        <w:shd w:val="clear" w:color="auto" w:fill="auto"/>
        <w:bidi w:val="0"/>
        <w:spacing w:before="0" w:line="240" w:lineRule="auto"/>
        <w:ind w:left="0" w:right="0" w:firstLine="0"/>
        <w:jc w:val="both"/>
      </w:pPr>
      <w:bookmarkStart w:id="2" w:name="bookmark2"/>
      <w:r>
        <w:rPr>
          <w:rStyle w:val="CharStyle19"/>
        </w:rPr>
        <w:t>1IIIIIIIIIIIIIIIIIIIIIII</w:t>
      </w:r>
      <w:bookmarkEnd w:id="2"/>
    </w:p>
    <w:p>
      <w:pPr>
        <w:pStyle w:val="Style16"/>
        <w:keepNext w:val="0"/>
        <w:keepLines w:val="0"/>
        <w:widowControl w:val="0"/>
        <w:shd w:val="clear" w:color="auto" w:fill="auto"/>
        <w:bidi w:val="0"/>
        <w:spacing w:before="0" w:after="280" w:line="240" w:lineRule="auto"/>
        <w:ind w:left="0" w:right="0" w:firstLine="0"/>
        <w:jc w:val="both"/>
      </w:pPr>
      <w:r>
        <w:rPr>
          <w:rStyle w:val="CharStyle17"/>
        </w:rPr>
        <w:t xml:space="preserve">организаций и их обособленных структурных подразделений, расположенных в том числе в сельских поселениях, рабочих поселках, поселках городского типа, а также в городах с численностью населения до </w:t>
      </w:r>
      <w:r>
        <w:rPr>
          <w:rStyle w:val="CharStyle17"/>
          <w:lang w:val="en-US" w:eastAsia="en-US"/>
        </w:rPr>
        <w:t xml:space="preserve">100 </w:t>
      </w:r>
      <w:r>
        <w:rPr>
          <w:rStyle w:val="CharStyle17"/>
        </w:rPr>
        <w:t xml:space="preserve">тыс. человек (капитальный ремонт детского поликлинического отделения государственного учреждения здравоохранения «Липецкая районная больница» по адресу: Липецкая область, городской округ город Липецк, улица Детская, дом </w:t>
      </w:r>
      <w:r>
        <w:rPr>
          <w:rStyle w:val="CharStyle17"/>
          <w:lang w:val="en-US" w:eastAsia="en-US"/>
        </w:rPr>
        <w:t xml:space="preserve">16) </w:t>
      </w:r>
      <w:r>
        <w:rPr>
          <w:rStyle w:val="CharStyle17"/>
        </w:rPr>
        <w:t xml:space="preserve">(реестровый номер </w:t>
      </w:r>
      <w:r>
        <w:rPr>
          <w:rStyle w:val="CharStyle17"/>
          <w:lang w:val="en-US" w:eastAsia="en-US"/>
        </w:rPr>
        <w:t xml:space="preserve">0846500000626000274) </w:t>
      </w:r>
      <w:r>
        <w:rPr>
          <w:rStyle w:val="CharStyle17"/>
        </w:rPr>
        <w:t xml:space="preserve">(далее </w:t>
      </w:r>
      <w:r>
        <w:rPr>
          <w:rStyle w:val="CharStyle17"/>
          <w:lang w:val="en-US" w:eastAsia="en-US"/>
        </w:rPr>
        <w:t xml:space="preserve">– </w:t>
      </w:r>
      <w:r>
        <w:rPr>
          <w:rStyle w:val="CharStyle17"/>
        </w:rPr>
        <w:t xml:space="preserve">электронный аукцион; закупка), а также другие документы (копии), представленные сторонами, проведя внеплановую проверку в соответствии со статьей </w:t>
      </w:r>
      <w:r>
        <w:rPr>
          <w:rStyle w:val="CharStyle17"/>
          <w:lang w:val="en-US" w:eastAsia="en-US"/>
        </w:rPr>
        <w:t xml:space="preserve">99 </w:t>
      </w:r>
      <w:r>
        <w:rPr>
          <w:rStyle w:val="CharStyle17"/>
        </w:rPr>
        <w:t xml:space="preserve">Федерального закона от </w:t>
      </w:r>
      <w:r>
        <w:rPr>
          <w:rStyle w:val="CharStyle17"/>
          <w:lang w:val="en-US" w:eastAsia="en-US"/>
        </w:rPr>
        <w:t xml:space="preserve">05.04.2013 </w:t>
      </w:r>
      <w:r>
        <w:rPr>
          <w:rStyle w:val="CharStyle1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Закон о контрактной системе) и на основании приказа Липецкого УФАС России,</w:t>
      </w:r>
    </w:p>
    <w:p>
      <w:pPr>
        <w:pStyle w:val="Style16"/>
        <w:keepNext w:val="0"/>
        <w:keepLines w:val="0"/>
        <w:widowControl w:val="0"/>
        <w:shd w:val="clear" w:color="auto" w:fill="auto"/>
        <w:bidi w:val="0"/>
        <w:spacing w:before="0" w:after="280" w:line="240" w:lineRule="auto"/>
        <w:ind w:left="0" w:right="0" w:firstLine="0"/>
        <w:jc w:val="center"/>
      </w:pPr>
      <w:r>
        <w:rPr>
          <w:rStyle w:val="CharStyle17"/>
        </w:rPr>
        <w:t>У С Т А Н О В И Л 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Липецкое УФАС России поступила жалоба индивидуального предпринимателя Кравченко Алексея Викторовича (далее </w:t>
      </w:r>
      <w:r>
        <w:rPr>
          <w:rStyle w:val="CharStyle17"/>
          <w:lang w:val="en-US" w:eastAsia="en-US"/>
        </w:rPr>
        <w:t xml:space="preserve">– </w:t>
      </w:r>
      <w:r>
        <w:rPr>
          <w:rStyle w:val="CharStyle17"/>
        </w:rPr>
        <w:t>заявитель) на положения извещения об осуществлении закупки.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Жалоба подана в срок, установленный статьей </w:t>
      </w:r>
      <w:r>
        <w:rPr>
          <w:rStyle w:val="CharStyle17"/>
          <w:lang w:val="en-US" w:eastAsia="en-US"/>
        </w:rPr>
        <w:t xml:space="preserve">105 </w:t>
      </w:r>
      <w:r>
        <w:rPr>
          <w:rStyle w:val="CharStyle17"/>
        </w:rPr>
        <w:t>Закона о контрактной системе, была принята Липецким УФАС России к рассмотрению. Сведения о времени и месте ее рассмотрения размещены Липецким УФАС России в ЕИС, а также направлены по электронной почте, следовательно, стороны уведомлены надлежащим образом.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Заявитель участие в заседании Комиссии не принял, явку своего представителя не обеспечил.</w:t>
      </w:r>
    </w:p>
    <w:p>
      <w:pPr>
        <w:pStyle w:val="Style16"/>
        <w:keepNext w:val="0"/>
        <w:keepLines w:val="0"/>
        <w:widowControl w:val="0"/>
        <w:shd w:val="clear" w:color="auto" w:fill="auto"/>
        <w:bidi w:val="0"/>
        <w:spacing w:before="0" w:after="0" w:line="240" w:lineRule="auto"/>
        <w:ind w:left="0" w:right="0" w:firstLine="580"/>
        <w:jc w:val="both"/>
      </w:pPr>
      <w:r>
        <w:rPr>
          <w:rStyle w:val="CharStyle17"/>
        </w:rPr>
        <w:t>Комиссия, проанализировав представленные сторонами материалы, сведения ЕИС, установила, что доводы жалобы необоснованны в связи со следующим.</w:t>
      </w:r>
    </w:p>
    <w:p>
      <w:pPr>
        <w:pStyle w:val="Style16"/>
        <w:keepNext w:val="0"/>
        <w:keepLines w:val="0"/>
        <w:widowControl w:val="0"/>
        <w:shd w:val="clear" w:color="auto" w:fill="auto"/>
        <w:bidi w:val="0"/>
        <w:spacing w:before="0" w:after="0" w:line="240" w:lineRule="auto"/>
        <w:ind w:left="0" w:right="0" w:firstLine="580"/>
        <w:jc w:val="both"/>
      </w:pPr>
      <w:r>
        <w:rPr>
          <w:rStyle w:val="CharStyle17"/>
          <w:lang w:val="en-US" w:eastAsia="en-US"/>
        </w:rPr>
        <w:t xml:space="preserve">28.04.2026 </w:t>
      </w:r>
      <w:r>
        <w:rPr>
          <w:rStyle w:val="CharStyle17"/>
        </w:rPr>
        <w:t xml:space="preserve">в ЕИС размещено извещение об осуществлении закупки с предусмотренными ч. </w:t>
      </w:r>
      <w:r>
        <w:rPr>
          <w:rStyle w:val="CharStyle17"/>
          <w:lang w:val="en-US" w:eastAsia="en-US"/>
        </w:rPr>
        <w:t xml:space="preserve">2 </w:t>
      </w:r>
      <w:r>
        <w:rPr>
          <w:rStyle w:val="CharStyle17"/>
        </w:rPr>
        <w:t xml:space="preserve">ст. </w:t>
      </w:r>
      <w:r>
        <w:rPr>
          <w:rStyle w:val="CharStyle17"/>
          <w:lang w:val="en-US" w:eastAsia="en-US"/>
        </w:rPr>
        <w:t xml:space="preserve">42 </w:t>
      </w:r>
      <w:r>
        <w:rPr>
          <w:rStyle w:val="CharStyle17"/>
        </w:rPr>
        <w:t>Закона о контрактной системе приложениями.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Начальная (максимальная) цена контракта </w:t>
      </w:r>
      <w:r>
        <w:rPr>
          <w:rStyle w:val="CharStyle17"/>
          <w:lang w:val="en-US" w:eastAsia="en-US"/>
        </w:rPr>
        <w:t xml:space="preserve">– 28 627 912,73 </w:t>
      </w:r>
      <w:r>
        <w:rPr>
          <w:rStyle w:val="CharStyle17"/>
        </w:rPr>
        <w:t>рублей.</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Объект закупки </w:t>
      </w:r>
      <w:r>
        <w:rPr>
          <w:rStyle w:val="CharStyle17"/>
          <w:lang w:val="en-US" w:eastAsia="en-US"/>
        </w:rPr>
        <w:t xml:space="preserve">- </w:t>
      </w:r>
      <w:r>
        <w:rPr>
          <w:rStyle w:val="CharStyle17"/>
        </w:rPr>
        <w:t xml:space="preserve">осуществление капитального ремонта зданий медицинских организаций и их обособленных структурных подразделений, расположенных в том числе в сельских поселениях, рабочих поселках, поселках городского типа, а также в городах с численностью населения до </w:t>
      </w:r>
      <w:r>
        <w:rPr>
          <w:rStyle w:val="CharStyle17"/>
          <w:lang w:val="en-US" w:eastAsia="en-US"/>
        </w:rPr>
        <w:t xml:space="preserve">100 </w:t>
      </w:r>
      <w:r>
        <w:rPr>
          <w:rStyle w:val="CharStyle17"/>
        </w:rPr>
        <w:t xml:space="preserve">тыс. человек (капитальный ремонт детского поликлинического отделения государственного учреждения здравоохранения «Липецкая районная больница» по адресу: Липецкая область, городской округ город Липецк, улица Детская, дом </w:t>
      </w:r>
      <w:r>
        <w:rPr>
          <w:rStyle w:val="CharStyle17"/>
          <w:lang w:val="en-US" w:eastAsia="en-US"/>
        </w:rPr>
        <w:t>16).</w:t>
      </w:r>
    </w:p>
    <w:p>
      <w:pPr>
        <w:pStyle w:val="Style16"/>
        <w:keepNext w:val="0"/>
        <w:keepLines w:val="0"/>
        <w:widowControl w:val="0"/>
        <w:shd w:val="clear" w:color="auto" w:fill="auto"/>
        <w:bidi w:val="0"/>
        <w:spacing w:before="0" w:after="280" w:line="240" w:lineRule="auto"/>
        <w:ind w:left="0" w:right="0" w:firstLine="580"/>
        <w:jc w:val="both"/>
      </w:pPr>
      <w:r>
        <w:rPr>
          <w:rStyle w:val="CharStyle17"/>
        </w:rPr>
        <w:t xml:space="preserve">В извещении о проведении закупки установлены требования к участникам закупок в соответствии с п. </w:t>
      </w:r>
      <w:r>
        <w:rPr>
          <w:rStyle w:val="CharStyle17"/>
          <w:lang w:val="en-US" w:eastAsia="en-US"/>
        </w:rPr>
        <w:t xml:space="preserve">1 </w:t>
      </w:r>
      <w:r>
        <w:rPr>
          <w:rStyle w:val="CharStyle17"/>
        </w:rPr>
        <w:t xml:space="preserve">ч. </w:t>
      </w:r>
      <w:r>
        <w:rPr>
          <w:rStyle w:val="CharStyle17"/>
          <w:lang w:val="en-US" w:eastAsia="en-US"/>
        </w:rPr>
        <w:t xml:space="preserve">1 </w:t>
      </w:r>
      <w:r>
        <w:rPr>
          <w:rStyle w:val="CharStyle17"/>
        </w:rPr>
        <w:t xml:space="preserve">ст. </w:t>
      </w:r>
      <w:r>
        <w:rPr>
          <w:rStyle w:val="CharStyle17"/>
          <w:lang w:val="en-US" w:eastAsia="en-US"/>
        </w:rPr>
        <w:t xml:space="preserve">31 </w:t>
      </w:r>
      <w:r>
        <w:rPr>
          <w:rStyle w:val="CharStyle17"/>
        </w:rPr>
        <w:t xml:space="preserve">Закона о контрактной системе: требованиям, установленным в соответствии со ст. </w:t>
      </w:r>
      <w:r>
        <w:rPr>
          <w:rStyle w:val="CharStyle17"/>
          <w:lang w:val="en-US" w:eastAsia="en-US"/>
        </w:rPr>
        <w:t xml:space="preserve">55.8 </w:t>
      </w:r>
      <w:r>
        <w:rPr>
          <w:rStyle w:val="CharStyle17"/>
        </w:rPr>
        <w:t xml:space="preserve">Градостроительного кодекса Российской Федерации от </w:t>
      </w:r>
      <w:r>
        <w:rPr>
          <w:rStyle w:val="CharStyle17"/>
          <w:lang w:val="en-US" w:eastAsia="en-US"/>
        </w:rPr>
        <w:t xml:space="preserve">29.12.2004 № </w:t>
      </w:r>
      <w:r>
        <w:rPr>
          <w:rStyle w:val="CharStyle17"/>
        </w:rPr>
        <w:t xml:space="preserve">190-ФЗ </w:t>
      </w:r>
      <w:r>
        <w:rPr>
          <w:rStyle w:val="CharStyle17"/>
          <w:lang w:val="en-US" w:eastAsia="en-US"/>
        </w:rPr>
        <w:t xml:space="preserve">- </w:t>
      </w:r>
      <w:r>
        <w:rPr>
          <w:rStyle w:val="CharStyle17"/>
        </w:rPr>
        <w:t xml:space="preserve">участник закупки должен быть членом саморегулируемой организации в области строительства, реконструкции, капитального ремонта объектов капитального строительства. В соответствии с частью </w:t>
      </w:r>
      <w:r>
        <w:rPr>
          <w:rStyle w:val="CharStyle17"/>
          <w:lang w:val="en-US" w:eastAsia="en-US"/>
        </w:rPr>
        <w:t xml:space="preserve">3 </w:t>
      </w:r>
      <w:r>
        <w:rPr>
          <w:rStyle w:val="CharStyle17"/>
        </w:rPr>
        <w:t xml:space="preserve">статьи </w:t>
      </w:r>
      <w:r>
        <w:rPr>
          <w:rStyle w:val="CharStyle17"/>
          <w:lang w:val="en-US" w:eastAsia="en-US"/>
        </w:rPr>
        <w:t xml:space="preserve">55.8 </w:t>
      </w:r>
      <w:r>
        <w:rPr>
          <w:rStyle w:val="CharStyle17"/>
        </w:rPr>
        <w:t>ГрК РФ член саморегулируемой организации имеет право</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осуществлять строительство, реконструкцию, капитальный ремонт объектов капитального строительства 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 </w:t>
      </w:r>
      <w:r>
        <w:rPr>
          <w:rStyle w:val="CharStyle17"/>
          <w:lang w:val="en-US" w:eastAsia="en-US"/>
        </w:rPr>
        <w:t xml:space="preserve">1) </w:t>
      </w:r>
      <w:r>
        <w:rPr>
          <w:rStyle w:val="CharStyle17"/>
        </w:rPr>
        <w:t xml:space="preserve">наличие у саморегулируемой организации, членом которой является участник закупки, компенсационного фонда обеспечения договорных обязательств, сформированного в соответствии со статьями </w:t>
      </w:r>
      <w:r>
        <w:rPr>
          <w:rStyle w:val="CharStyle17"/>
          <w:lang w:val="en-US" w:eastAsia="en-US"/>
        </w:rPr>
        <w:t xml:space="preserve">55.4 </w:t>
      </w:r>
      <w:r>
        <w:rPr>
          <w:rStyle w:val="CharStyle17"/>
        </w:rPr>
        <w:t xml:space="preserve">и </w:t>
      </w:r>
      <w:r>
        <w:rPr>
          <w:rStyle w:val="CharStyle17"/>
          <w:lang w:val="en-US" w:eastAsia="en-US"/>
        </w:rPr>
        <w:t xml:space="preserve">55.16 </w:t>
      </w:r>
      <w:r>
        <w:rPr>
          <w:rStyle w:val="CharStyle17"/>
        </w:rPr>
        <w:t xml:space="preserve">ГрК РФ; </w:t>
      </w:r>
      <w:r>
        <w:rPr>
          <w:rStyle w:val="CharStyle17"/>
          <w:lang w:val="en-US" w:eastAsia="en-US"/>
        </w:rPr>
        <w:t xml:space="preserve">2) </w:t>
      </w:r>
      <w:r>
        <w:rPr>
          <w:rStyle w:val="CharStyle17"/>
        </w:rPr>
        <w:t xml:space="preserve">если совокупный размер обязательств по указанным в абзаце первом настоящего пункта договорам не превышает предельный размер обязательств, исходя из которого участником закупки был внесен взнос в компенсационный фонд обеспечения договорных обязательств в соответствии с частью </w:t>
      </w:r>
      <w:r>
        <w:rPr>
          <w:rStyle w:val="CharStyle17"/>
          <w:lang w:val="en-US" w:eastAsia="en-US"/>
        </w:rPr>
        <w:t xml:space="preserve">13 </w:t>
      </w:r>
      <w:r>
        <w:rPr>
          <w:rStyle w:val="CharStyle17"/>
        </w:rPr>
        <w:t xml:space="preserve">статьи </w:t>
      </w:r>
      <w:r>
        <w:rPr>
          <w:rStyle w:val="CharStyle17"/>
          <w:lang w:val="en-US" w:eastAsia="en-US"/>
        </w:rPr>
        <w:t xml:space="preserve">55.16 </w:t>
      </w:r>
      <w:r>
        <w:rPr>
          <w:rStyle w:val="CharStyle17"/>
        </w:rPr>
        <w:t xml:space="preserve">ГрК РФ. Количество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 Минимальный размер взноса участника закупки в компенсационный фонд возмещения вреда должен быть сформирован в соответствии с частью </w:t>
      </w:r>
      <w:r>
        <w:rPr>
          <w:rStyle w:val="CharStyle17"/>
          <w:lang w:val="en-US" w:eastAsia="en-US"/>
        </w:rPr>
        <w:t xml:space="preserve">12 </w:t>
      </w:r>
      <w:r>
        <w:rPr>
          <w:rStyle w:val="CharStyle17"/>
        </w:rPr>
        <w:t xml:space="preserve">статьи </w:t>
      </w:r>
      <w:r>
        <w:rPr>
          <w:rStyle w:val="CharStyle17"/>
          <w:lang w:val="en-US" w:eastAsia="en-US"/>
        </w:rPr>
        <w:t xml:space="preserve">55.16 </w:t>
      </w:r>
      <w:r>
        <w:rPr>
          <w:rStyle w:val="CharStyle17"/>
        </w:rPr>
        <w:t xml:space="preserve">Градостроительного кодекса РФ. Минимальный размер взноса участника закупки в компенсационный фонд обеспечения договорных обязательств должен быть сформирован в соответствии с частью </w:t>
      </w:r>
      <w:r>
        <w:rPr>
          <w:rStyle w:val="CharStyle17"/>
          <w:lang w:val="en-US" w:eastAsia="en-US"/>
        </w:rPr>
        <w:t xml:space="preserve">13 </w:t>
      </w:r>
      <w:r>
        <w:rPr>
          <w:rStyle w:val="CharStyle17"/>
        </w:rPr>
        <w:t xml:space="preserve">статьи </w:t>
      </w:r>
      <w:r>
        <w:rPr>
          <w:rStyle w:val="CharStyle17"/>
          <w:lang w:val="en-US" w:eastAsia="en-US"/>
        </w:rPr>
        <w:t xml:space="preserve">55.16 </w:t>
      </w:r>
      <w:r>
        <w:rPr>
          <w:rStyle w:val="CharStyle17"/>
        </w:rPr>
        <w:t xml:space="preserve">Градостроительного кодекса РФ. Уровень ответственности члена саморегулируемой организации, в соответствии с которым указанным членом внесены взносы в компенсационный фонд обеспечения договорных обязательств, компенсационный фонд возмещения вреда не может быть меньше предложения участника закупки о цене контракта. В случаях, предусмотренных ч. </w:t>
      </w:r>
      <w:r>
        <w:rPr>
          <w:rStyle w:val="CharStyle17"/>
          <w:lang w:val="en-US" w:eastAsia="en-US"/>
        </w:rPr>
        <w:t xml:space="preserve">2.1 </w:t>
      </w:r>
      <w:r>
        <w:rPr>
          <w:rStyle w:val="CharStyle17"/>
        </w:rPr>
        <w:t xml:space="preserve">и ч. </w:t>
      </w:r>
      <w:r>
        <w:rPr>
          <w:rStyle w:val="CharStyle17"/>
          <w:lang w:val="en-US" w:eastAsia="en-US"/>
        </w:rPr>
        <w:t xml:space="preserve">2.2. </w:t>
      </w:r>
      <w:r>
        <w:rPr>
          <w:rStyle w:val="CharStyle17"/>
        </w:rPr>
        <w:t xml:space="preserve">ст. </w:t>
      </w:r>
      <w:r>
        <w:rPr>
          <w:rStyle w:val="CharStyle17"/>
          <w:lang w:val="en-US" w:eastAsia="en-US"/>
        </w:rPr>
        <w:t xml:space="preserve">52 </w:t>
      </w:r>
      <w:r>
        <w:rPr>
          <w:rStyle w:val="CharStyle17"/>
        </w:rPr>
        <w:t>Градостроительного кодекса РФ, 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п. </w:t>
      </w:r>
      <w:r>
        <w:rPr>
          <w:rStyle w:val="CharStyle17"/>
          <w:lang w:val="en-US" w:eastAsia="en-US"/>
        </w:rPr>
        <w:t xml:space="preserve">2 </w:t>
      </w:r>
      <w:r>
        <w:rPr>
          <w:rStyle w:val="CharStyle17"/>
        </w:rPr>
        <w:t xml:space="preserve">ст. </w:t>
      </w:r>
      <w:r>
        <w:rPr>
          <w:rStyle w:val="CharStyle17"/>
          <w:lang w:val="en-US" w:eastAsia="en-US"/>
        </w:rPr>
        <w:t xml:space="preserve">52 </w:t>
      </w:r>
      <w:r>
        <w:rPr>
          <w:rStyle w:val="CharStyle17"/>
        </w:rPr>
        <w:t xml:space="preserve">Градостроительного кодекса Российской Федерации" от </w:t>
      </w:r>
      <w:r>
        <w:rPr>
          <w:rStyle w:val="CharStyle17"/>
          <w:lang w:val="en-US" w:eastAsia="en-US"/>
        </w:rPr>
        <w:t xml:space="preserve">29.12.2004 N </w:t>
      </w:r>
      <w:r>
        <w:rPr>
          <w:rStyle w:val="CharStyle17"/>
        </w:rPr>
        <w:t xml:space="preserve">190-ФЗ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w:t>
      </w:r>
      <w:r>
        <w:rPr>
          <w:rStyle w:val="CharStyle17"/>
          <w:lang w:val="en-US" w:eastAsia="en-US"/>
        </w:rPr>
        <w:t xml:space="preserve">- </w:t>
      </w:r>
      <w:r>
        <w:rPr>
          <w:rStyle w:val="CharStyle17"/>
        </w:rPr>
        <w:t>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6"/>
        <w:keepNext w:val="0"/>
        <w:keepLines w:val="0"/>
        <w:widowControl w:val="0"/>
        <w:shd w:val="clear" w:color="auto" w:fill="auto"/>
        <w:bidi w:val="0"/>
        <w:spacing w:before="0" w:after="0" w:line="240" w:lineRule="auto"/>
        <w:ind w:left="0" w:right="0" w:firstLine="580"/>
        <w:jc w:val="both"/>
        <w:sectPr>
          <w:footnotePr>
            <w:pos w:val="pageBottom"/>
            <w:numFmt w:val="decimal"/>
            <w:numRestart w:val="continuous"/>
          </w:footnotePr>
          <w:type w:val="continuous"/>
          <w:pgSz w:w="11900" w:h="16840"/>
          <w:pgMar w:top="58" w:right="537" w:bottom="1216" w:left="1097" w:header="0" w:footer="3" w:gutter="0"/>
          <w:cols w:space="720"/>
          <w:noEndnote/>
          <w:rtlGutter w:val="0"/>
          <w:docGrid w:linePitch="360"/>
        </w:sectPr>
      </w:pPr>
      <w:r>
        <w:rPr>
          <w:rStyle w:val="CharStyle17"/>
        </w:rPr>
        <w:t>Согласно Единому реестру сведений о членах саморегулируемых организаций в области строительства, реконструкции, капитального ремонта, сноса объектов</w:t>
      </w:r>
    </w:p>
    <w:p>
      <w:pPr>
        <w:pStyle w:val="Style16"/>
        <w:keepNext w:val="0"/>
        <w:keepLines w:val="0"/>
        <w:widowControl w:val="0"/>
        <w:shd w:val="clear" w:color="auto" w:fill="auto"/>
        <w:bidi w:val="0"/>
        <w:spacing w:before="0" w:after="0" w:line="240" w:lineRule="auto"/>
        <w:ind w:left="0" w:right="0" w:firstLine="0"/>
        <w:jc w:val="both"/>
      </w:pPr>
      <w:r>
        <w:rPr>
          <w:rStyle w:val="CharStyle17"/>
        </w:rPr>
        <w:t>капитального строительства и их обязательствах индивидуальный предприниматель Кравченко Алексей Викторович (ИНН:402801000649) не является членом СРО.</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извещении о проведении закупки установлены дополнительные требования в соответствии с позицией </w:t>
      </w:r>
      <w:r>
        <w:rPr>
          <w:rStyle w:val="CharStyle17"/>
          <w:lang w:val="en-US" w:eastAsia="en-US"/>
        </w:rPr>
        <w:t xml:space="preserve">10 </w:t>
      </w:r>
      <w:r>
        <w:rPr>
          <w:rStyle w:val="CharStyle17"/>
        </w:rPr>
        <w:t xml:space="preserve">раздела </w:t>
      </w:r>
      <w:r>
        <w:rPr>
          <w:rStyle w:val="CharStyle17"/>
          <w:lang w:val="en-US" w:eastAsia="en-US"/>
        </w:rPr>
        <w:t xml:space="preserve">II </w:t>
      </w:r>
      <w:r>
        <w:rPr>
          <w:rStyle w:val="CharStyle17"/>
        </w:rPr>
        <w:t xml:space="preserve">приложения к Постановлению Правительства РФ от </w:t>
      </w:r>
      <w:r>
        <w:rPr>
          <w:rStyle w:val="CharStyle17"/>
          <w:lang w:val="en-US" w:eastAsia="en-US"/>
        </w:rPr>
        <w:t xml:space="preserve">29.12.2021 N 2571 </w:t>
      </w:r>
      <w:r>
        <w:rPr>
          <w:rStyle w:val="CharStyle17"/>
        </w:rPr>
        <w:t xml:space="preserve">"О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(далее-Постановление </w:t>
      </w:r>
      <w:r>
        <w:rPr>
          <w:rStyle w:val="CharStyle17"/>
          <w:lang w:val="en-US" w:eastAsia="en-US"/>
        </w:rPr>
        <w:t>№2571).</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Информацией и документами, подтверждающими соответствие участника закупки дополнительному требованию, установленному в соответствии с частью </w:t>
      </w:r>
      <w:r>
        <w:rPr>
          <w:rStyle w:val="CharStyle17"/>
          <w:lang w:val="en-US" w:eastAsia="en-US"/>
        </w:rPr>
        <w:t xml:space="preserve">2.1 </w:t>
      </w:r>
      <w:r>
        <w:rPr>
          <w:rStyle w:val="CharStyle17"/>
        </w:rPr>
        <w:t xml:space="preserve">статьи </w:t>
      </w:r>
      <w:r>
        <w:rPr>
          <w:rStyle w:val="CharStyle17"/>
          <w:lang w:val="en-US" w:eastAsia="en-US"/>
        </w:rPr>
        <w:t xml:space="preserve">31 </w:t>
      </w:r>
      <w:r>
        <w:rPr>
          <w:rStyle w:val="CharStyle17"/>
        </w:rPr>
        <w:t xml:space="preserve">Закона о контрактной системе в соответствии с Постановлением </w:t>
      </w:r>
      <w:r>
        <w:rPr>
          <w:rStyle w:val="CharStyle17"/>
          <w:lang w:val="en-US" w:eastAsia="en-US"/>
        </w:rPr>
        <w:t xml:space="preserve">N 2571 </w:t>
      </w:r>
      <w:r>
        <w:rPr>
          <w:rStyle w:val="CharStyle17"/>
        </w:rPr>
        <w:t>являются информация и документы, предусмотренные хотя бы одним из следующих подпунктов:</w:t>
      </w:r>
    </w:p>
    <w:p>
      <w:pPr>
        <w:pStyle w:val="Style16"/>
        <w:keepNext w:val="0"/>
        <w:keepLines w:val="0"/>
        <w:widowControl w:val="0"/>
        <w:numPr>
          <w:ilvl w:val="0"/>
          <w:numId w:val="3"/>
        </w:numPr>
        <w:shd w:val="clear" w:color="auto" w:fill="auto"/>
        <w:tabs>
          <w:tab w:pos="947" w:val="left"/>
        </w:tabs>
        <w:bidi w:val="0"/>
        <w:spacing w:before="0" w:after="0" w:line="240" w:lineRule="auto"/>
        <w:ind w:left="0" w:right="0" w:firstLine="580"/>
        <w:jc w:val="both"/>
      </w:pPr>
      <w:r>
        <w:rPr>
          <w:rStyle w:val="CharStyle17"/>
        </w:rPr>
        <w:t>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pPr>
        <w:pStyle w:val="Style16"/>
        <w:keepNext w:val="0"/>
        <w:keepLines w:val="0"/>
        <w:widowControl w:val="0"/>
        <w:numPr>
          <w:ilvl w:val="0"/>
          <w:numId w:val="3"/>
        </w:numPr>
        <w:shd w:val="clear" w:color="auto" w:fill="auto"/>
        <w:tabs>
          <w:tab w:pos="961" w:val="left"/>
        </w:tabs>
        <w:bidi w:val="0"/>
        <w:spacing w:before="0" w:after="0" w:line="240" w:lineRule="auto"/>
        <w:ind w:left="0" w:right="0" w:firstLine="580"/>
        <w:jc w:val="both"/>
      </w:pPr>
      <w:r>
        <w:rPr>
          <w:rStyle w:val="CharStyle17"/>
        </w:rPr>
        <w:t>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pPr>
        <w:pStyle w:val="Style16"/>
        <w:keepNext w:val="0"/>
        <w:keepLines w:val="0"/>
        <w:widowControl w:val="0"/>
        <w:numPr>
          <w:ilvl w:val="0"/>
          <w:numId w:val="3"/>
        </w:numPr>
        <w:shd w:val="clear" w:color="auto" w:fill="auto"/>
        <w:tabs>
          <w:tab w:pos="952" w:val="left"/>
        </w:tabs>
        <w:bidi w:val="0"/>
        <w:spacing w:before="0" w:after="0" w:line="240" w:lineRule="auto"/>
        <w:ind w:left="0" w:right="0" w:firstLine="580"/>
        <w:jc w:val="both"/>
      </w:pPr>
      <w:r>
        <w:rPr>
          <w:rStyle w:val="CharStyle17"/>
        </w:rPr>
        <w:t>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ч.1 ст.105 Закона о контрактной системе участник закупки имеет право обжаловать в порядке, установленном главой </w:t>
      </w:r>
      <w:r>
        <w:rPr>
          <w:rStyle w:val="CharStyle17"/>
          <w:lang w:val="en-US" w:eastAsia="en-US"/>
        </w:rPr>
        <w:t xml:space="preserve">6 </w:t>
      </w:r>
      <w:r>
        <w:rPr>
          <w:rStyle w:val="CharStyle17"/>
        </w:rPr>
        <w:t>Закона о контрактной системе,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На основании вышеизложенного, поскольку права и законные интересы Заявителя не могут быть нарушены при проведении данной закупки, жалоба признается необоснованной.</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При проведении внеплановой проверки в соответствии со ст. </w:t>
      </w:r>
      <w:r>
        <w:rPr>
          <w:rStyle w:val="CharStyle17"/>
          <w:lang w:val="en-US" w:eastAsia="en-US"/>
        </w:rPr>
        <w:t xml:space="preserve">99 </w:t>
      </w:r>
      <w:r>
        <w:rPr>
          <w:rStyle w:val="CharStyle17"/>
        </w:rPr>
        <w:t>Закона о контрактной системе Комиссия не усматривает нарушений Закона о контрактной системе в действиях заказчика и уполномоченного учреждения.</w:t>
      </w:r>
    </w:p>
    <w:p>
      <w:pPr>
        <w:pStyle w:val="Style16"/>
        <w:keepNext w:val="0"/>
        <w:keepLines w:val="0"/>
        <w:widowControl w:val="0"/>
        <w:shd w:val="clear" w:color="auto" w:fill="auto"/>
        <w:bidi w:val="0"/>
        <w:spacing w:before="0" w:after="100" w:line="240" w:lineRule="auto"/>
        <w:ind w:left="0" w:right="0" w:firstLine="580"/>
        <w:jc w:val="both"/>
      </w:pPr>
      <w:r>
        <w:rPr>
          <w:rStyle w:val="CharStyle17"/>
        </w:rPr>
        <w:t xml:space="preserve">Руководствуясь статьей </w:t>
      </w:r>
      <w:r>
        <w:rPr>
          <w:rStyle w:val="CharStyle17"/>
          <w:lang w:val="en-US" w:eastAsia="en-US"/>
        </w:rPr>
        <w:t xml:space="preserve">99, </w:t>
      </w:r>
      <w:r>
        <w:rPr>
          <w:rStyle w:val="CharStyle17"/>
        </w:rPr>
        <w:t xml:space="preserve">статьями </w:t>
      </w:r>
      <w:r>
        <w:rPr>
          <w:rStyle w:val="CharStyle17"/>
          <w:lang w:val="en-US" w:eastAsia="en-US"/>
        </w:rPr>
        <w:t xml:space="preserve">105-106 </w:t>
      </w:r>
      <w:r>
        <w:rPr>
          <w:rStyle w:val="CharStyle17"/>
        </w:rPr>
        <w:t>Закона о контрактной системе, Комиссия Липецкого УФАС России</w:t>
      </w:r>
    </w:p>
    <w:p>
      <w:pPr>
        <w:pStyle w:val="Style16"/>
        <w:keepNext w:val="0"/>
        <w:keepLines w:val="0"/>
        <w:widowControl w:val="0"/>
        <w:shd w:val="clear" w:color="auto" w:fill="auto"/>
        <w:bidi w:val="0"/>
        <w:spacing w:before="0" w:after="100" w:line="240" w:lineRule="auto"/>
        <w:ind w:left="0" w:right="0" w:firstLine="0"/>
        <w:jc w:val="center"/>
      </w:pPr>
      <w:r>
        <w:rPr>
          <w:rStyle w:val="CharStyle17"/>
        </w:rPr>
        <w:t>Р Е Ш И Л А:</w:t>
      </w:r>
    </w:p>
    <w:p>
      <w:pPr>
        <w:pStyle w:val="Style16"/>
        <w:keepNext w:val="0"/>
        <w:keepLines w:val="0"/>
        <w:widowControl w:val="0"/>
        <w:shd w:val="clear" w:color="auto" w:fill="auto"/>
        <w:bidi w:val="0"/>
        <w:spacing w:before="0" w:after="100" w:line="288" w:lineRule="auto"/>
        <w:ind w:left="0" w:right="0" w:firstLine="580"/>
        <w:jc w:val="both"/>
        <w:rPr>
          <w:sz w:val="24"/>
          <w:szCs w:val="24"/>
        </w:rPr>
        <w:sectPr>
          <w:footerReference w:type="default" r:id="rId7"/>
          <w:footnotePr>
            <w:pos w:val="pageBottom"/>
            <w:numFmt w:val="decimal"/>
            <w:numRestart w:val="continuous"/>
          </w:footnotePr>
          <w:pgSz w:w="11900" w:h="16840"/>
          <w:pgMar w:top="1105" w:right="541" w:bottom="583" w:left="1106" w:header="677" w:footer="155" w:gutter="0"/>
          <w:cols w:space="720"/>
          <w:noEndnote/>
          <w:rtlGutter w:val="0"/>
          <w:docGrid w:linePitch="360"/>
        </w:sectPr>
      </w:pPr>
      <w:r>
        <w:rPr>
          <w:rStyle w:val="CharStyle17"/>
        </w:rPr>
        <w:t xml:space="preserve">Признать жалобу индивидуального предпринимателя Кравченко Алексея Викторовича на положение извещения при проведении электронного аукциона на </w:t>
      </w:r>
      <w:r>
        <w:rPr>
          <w:rStyle w:val="CharStyle17"/>
          <w:sz w:val="24"/>
          <w:szCs w:val="24"/>
          <w:lang w:val="en-US" w:eastAsia="en-US"/>
        </w:rPr>
        <w:t>2026-4221</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выполнению работ по осуществлению капитального ремонта зданий медицинских организаций и их обособленных структурных подразделений, расположенных в том числе в сельских поселениях, рабочих поселках, поселках городского типа, а также в городах с численностью населения до </w:t>
      </w:r>
      <w:r>
        <w:rPr>
          <w:rStyle w:val="CharStyle17"/>
          <w:lang w:val="en-US" w:eastAsia="en-US"/>
        </w:rPr>
        <w:t xml:space="preserve">100 </w:t>
      </w:r>
      <w:r>
        <w:rPr>
          <w:rStyle w:val="CharStyle17"/>
        </w:rPr>
        <w:t xml:space="preserve">тыс. человек (капитальный ремонт детского поликлинического отделения государственного учреждения здравоохранения «Липецкая районная больница» по адресу: Липецкая область, городской округ город Липецк, улица Детская, дом </w:t>
      </w:r>
      <w:r>
        <w:rPr>
          <w:rStyle w:val="CharStyle17"/>
          <w:lang w:val="en-US" w:eastAsia="en-US"/>
        </w:rPr>
        <w:t xml:space="preserve">16) </w:t>
      </w:r>
      <w:r>
        <w:rPr>
          <w:rStyle w:val="CharStyle17"/>
        </w:rPr>
        <w:t xml:space="preserve">(реестровый номер </w:t>
      </w:r>
      <w:r>
        <w:rPr>
          <w:rStyle w:val="CharStyle17"/>
          <w:lang w:val="en-US" w:eastAsia="en-US"/>
        </w:rPr>
        <w:t xml:space="preserve">0846500000626000274) </w:t>
      </w:r>
      <w:r>
        <w:rPr>
          <w:rStyle w:val="CharStyle17"/>
        </w:rPr>
        <w:t>необоснованной.</w:t>
      </w:r>
    </w:p>
    <w:p>
      <w:pPr>
        <w:pStyle w:val="Style16"/>
        <w:keepNext w:val="0"/>
        <w:keepLines w:val="0"/>
        <w:widowControl w:val="0"/>
        <w:shd w:val="clear" w:color="auto" w:fill="auto"/>
        <w:bidi w:val="0"/>
        <w:spacing w:before="0" w:after="0" w:line="240" w:lineRule="auto"/>
        <w:ind w:left="0" w:right="0" w:firstLine="580"/>
        <w:jc w:val="both"/>
      </w:pPr>
      <w:r>
        <w:rPr>
          <w:rStyle w:val="CharStyle17"/>
        </w:rPr>
        <w:t>Решение может быть обжаловано в арбитражный суд в течение трех месяцев со дня его вынесения.</w:t>
      </w:r>
    </w:p>
    <w:p>
      <w:pPr>
        <w:widowControl w:val="0"/>
        <w:spacing w:line="1" w:lineRule="exact"/>
        <w:sectPr>
          <w:footerReference w:type="default" r:id="rId8"/>
          <w:footnotePr>
            <w:pos w:val="pageBottom"/>
            <w:numFmt w:val="decimal"/>
            <w:numRestart w:val="continuous"/>
          </w:footnotePr>
          <w:pgSz w:w="11900" w:h="16840"/>
          <w:pgMar w:top="1105" w:right="546" w:bottom="6756" w:left="1106" w:header="677" w:footer="3" w:gutter="0"/>
          <w:cols w:space="720"/>
          <w:noEndnote/>
          <w:rtlGutter w:val="0"/>
          <w:docGrid w:linePitch="360"/>
        </w:sectPr>
      </w:pPr>
      <w:r>
        <mc:AlternateContent>
          <mc:Choice Requires="wps">
            <w:drawing>
              <wp:anchor distT="304800" distB="204470" distL="0" distR="0" simplePos="0" relativeHeight="125829380" behindDoc="0" locked="0" layoutInCell="1" allowOverlap="1">
                <wp:simplePos x="0" y="0"/>
                <wp:positionH relativeFrom="page">
                  <wp:posOffset>739140</wp:posOffset>
                </wp:positionH>
                <wp:positionV relativeFrom="paragraph">
                  <wp:posOffset>304800</wp:posOffset>
                </wp:positionV>
                <wp:extent cx="1856105" cy="252730"/>
                <wp:wrapTopAndBottom/>
                <wp:docPr id="9" name="Shape 9"/>
                <a:graphic xmlns:a="http://schemas.openxmlformats.org/drawingml/2006/main">
                  <a:graphicData uri="http://schemas.microsoft.com/office/word/2010/wordprocessingShape">
                    <wps:wsp>
                      <wps:cNvSpPr txBox="1"/>
                      <wps:spPr>
                        <a:xfrm>
                          <a:ext cx="1856105"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200000000000003pt;margin-top:24.pt;width:146.15000000000001pt;height:19.900000000000002pt;z-index:-125829373;mso-wrap-distance-left:0;mso-wrap-distance-top:24.pt;mso-wrap-distance-right:0;mso-wrap-distance-bottom:16.1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v:textbox>
                <w10:wrap type="topAndBottom" anchorx="page"/>
              </v:shape>
            </w:pict>
          </mc:Fallback>
        </mc:AlternateContent>
      </w:r>
      <w:r>
        <w:drawing>
          <wp:anchor distT="396240" distB="0" distL="0" distR="1804670" simplePos="0" relativeHeight="125829382" behindDoc="0" locked="0" layoutInCell="1" allowOverlap="1">
            <wp:simplePos x="0" y="0"/>
            <wp:positionH relativeFrom="page">
              <wp:posOffset>2677795</wp:posOffset>
            </wp:positionH>
            <wp:positionV relativeFrom="paragraph">
              <wp:posOffset>396240</wp:posOffset>
            </wp:positionV>
            <wp:extent cx="316865" cy="36576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3074035</wp:posOffset>
                </wp:positionH>
                <wp:positionV relativeFrom="paragraph">
                  <wp:posOffset>466090</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05000000000001pt;margin-top:36.700000000000003pt;width:135.59999999999999pt;height:20.40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204470" distL="0" distR="0" simplePos="0" relativeHeight="125829383" behindDoc="0" locked="0" layoutInCell="1" allowOverlap="1">
                <wp:simplePos x="0" y="0"/>
                <wp:positionH relativeFrom="page">
                  <wp:posOffset>6127750</wp:posOffset>
                </wp:positionH>
                <wp:positionV relativeFrom="paragraph">
                  <wp:posOffset>304800</wp:posOffset>
                </wp:positionV>
                <wp:extent cx="1060450" cy="252730"/>
                <wp:wrapTopAndBottom/>
                <wp:docPr id="15" name="Shape 15"/>
                <a:graphic xmlns:a="http://schemas.openxmlformats.org/drawingml/2006/main">
                  <a:graphicData uri="http://schemas.microsoft.com/office/word/2010/wordprocessingShape">
                    <wps:wsp>
                      <wps:cNvSpPr txBox="1"/>
                      <wps:spPr>
                        <a:xfrm>
                          <a:ext cx="106045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И.В. Поткина</w:t>
                            </w:r>
                          </w:p>
                        </w:txbxContent>
                      </wps:txbx>
                      <wps:bodyPr wrap="none" lIns="0" tIns="0" rIns="0" bIns="0">
                        <a:noAutoFit/>
                      </wps:bodyPr>
                    </wps:wsp>
                  </a:graphicData>
                </a:graphic>
              </wp:anchor>
            </w:drawing>
          </mc:Choice>
          <mc:Fallback>
            <w:pict>
              <v:shape id="_x0000_s1041" type="#_x0000_t202" style="position:absolute;margin-left:482.5pt;margin-top:24.pt;width:83.5pt;height:19.900000000000002pt;z-index:-125829370;mso-wrap-distance-left:0;mso-wrap-distance-top:24.pt;mso-wrap-distance-right:0;mso-wrap-distance-bottom:16.1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И.В. Поткина</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5"/>
          <w:color w:val="FFFFFF"/>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rStyle w:val="CharStyle27"/>
        </w:rPr>
        <w:t xml:space="preserve">Кому выдан: </w:t>
      </w:r>
      <w:r>
        <w:rPr>
          <w:rStyle w:val="CharStyle27"/>
          <w:color w:val="000000"/>
          <w:sz w:val="11"/>
          <w:szCs w:val="11"/>
        </w:rPr>
        <w:t>Поткина Ирина Владимировна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34BC6067F93C2077028AB856911D8A49</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Действителен с 29.04.2025 </w:t>
      </w:r>
      <w:r>
        <w:rPr>
          <w:rStyle w:val="CharStyle27"/>
          <w:color w:val="555555"/>
        </w:rPr>
        <w:t xml:space="preserve">по </w:t>
      </w:r>
      <w:r>
        <w:rPr>
          <w:rStyle w:val="CharStyle27"/>
        </w:rPr>
        <w:t>23.07.2026</w:t>
      </w:r>
    </w:p>
    <w:p>
      <w:pPr>
        <w:widowControl w:val="0"/>
        <w:spacing w:line="1" w:lineRule="exact"/>
        <w:sectPr>
          <w:footnotePr>
            <w:pos w:val="pageBottom"/>
            <w:numFmt w:val="decimal"/>
            <w:numRestart w:val="continuous"/>
          </w:footnotePr>
          <w:type w:val="continuous"/>
          <w:pgSz w:w="11900" w:h="16840"/>
          <w:pgMar w:top="1105" w:right="546" w:bottom="6756" w:left="1106" w:header="0" w:footer="3" w:gutter="0"/>
          <w:cols w:space="720"/>
          <w:noEndnote/>
          <w:rtlGutter w:val="0"/>
          <w:docGrid w:linePitch="360"/>
        </w:sectPr>
      </w:pPr>
      <w:r>
        <mc:AlternateContent>
          <mc:Choice Requires="wps">
            <w:drawing>
              <wp:anchor distT="88900" distB="341630" distL="0" distR="0" simplePos="0" relativeHeight="125829385" behindDoc="0" locked="0" layoutInCell="1" allowOverlap="1">
                <wp:simplePos x="0" y="0"/>
                <wp:positionH relativeFrom="page">
                  <wp:posOffset>735965</wp:posOffset>
                </wp:positionH>
                <wp:positionV relativeFrom="paragraph">
                  <wp:posOffset>88900</wp:posOffset>
                </wp:positionV>
                <wp:extent cx="1374775" cy="252730"/>
                <wp:wrapTopAndBottom/>
                <wp:docPr id="17" name="Shape 17"/>
                <a:graphic xmlns:a="http://schemas.openxmlformats.org/drawingml/2006/main">
                  <a:graphicData uri="http://schemas.microsoft.com/office/word/2010/wordprocessingShape">
                    <wps:wsp>
                      <wps:cNvSpPr txBox="1"/>
                      <wps:spPr>
                        <a:xfrm>
                          <a:ext cx="1374775"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Члены Комиссии:</w:t>
                            </w:r>
                          </w:p>
                        </w:txbxContent>
                      </wps:txbx>
                      <wps:bodyPr wrap="none" lIns="0" tIns="0" rIns="0" bIns="0">
                        <a:noAutoFit/>
                      </wps:bodyPr>
                    </wps:wsp>
                  </a:graphicData>
                </a:graphic>
              </wp:anchor>
            </w:drawing>
          </mc:Choice>
          <mc:Fallback>
            <w:pict>
              <v:shape id="_x0000_s1043" type="#_x0000_t202" style="position:absolute;margin-left:57.950000000000003pt;margin-top:7.pt;width:108.25pt;height:19.900000000000002pt;z-index:-125829368;mso-wrap-distance-left:0;mso-wrap-distance-top:7.pt;mso-wrap-distance-right:0;mso-wrap-distance-bottom:26.900000000000002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Члены Комиссии:</w:t>
                      </w:r>
                    </w:p>
                  </w:txbxContent>
                </v:textbox>
                <w10:wrap type="topAndBottom" anchorx="page"/>
              </v:shape>
            </w:pict>
          </mc:Fallback>
        </mc:AlternateContent>
      </w:r>
      <w:r>
        <w:drawing>
          <wp:anchor distT="165100" distB="0" distL="0" distR="1786255" simplePos="0" relativeHeight="125829387" behindDoc="0" locked="0" layoutInCell="1" allowOverlap="1">
            <wp:simplePos x="0" y="0"/>
            <wp:positionH relativeFrom="page">
              <wp:posOffset>2653030</wp:posOffset>
            </wp:positionH>
            <wp:positionV relativeFrom="paragraph">
              <wp:posOffset>165100</wp:posOffset>
            </wp:positionV>
            <wp:extent cx="359410" cy="51816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3113405</wp:posOffset>
                </wp:positionH>
                <wp:positionV relativeFrom="paragraph">
                  <wp:posOffset>567690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15000000000001pt;margin-top:44.700000000000003pt;width:101.05pt;height:7.9000000000000004pt;z-index:251657731;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3073400</wp:posOffset>
                </wp:positionH>
                <wp:positionV relativeFrom="paragraph">
                  <wp:posOffset>250190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pt;margin-top:19.699999999999999pt;width:135.59999999999999pt;height:20.40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41630" distL="0" distR="0" simplePos="0" relativeHeight="125829388" behindDoc="0" locked="0" layoutInCell="1" allowOverlap="1">
                <wp:simplePos x="0" y="0"/>
                <wp:positionH relativeFrom="page">
                  <wp:posOffset>6057900</wp:posOffset>
                </wp:positionH>
                <wp:positionV relativeFrom="paragraph">
                  <wp:posOffset>88900</wp:posOffset>
                </wp:positionV>
                <wp:extent cx="1130935" cy="252730"/>
                <wp:wrapTopAndBottom/>
                <wp:docPr id="25" name="Shape 25"/>
                <a:graphic xmlns:a="http://schemas.openxmlformats.org/drawingml/2006/main">
                  <a:graphicData uri="http://schemas.microsoft.com/office/word/2010/wordprocessingShape">
                    <wps:wsp>
                      <wps:cNvSpPr txBox="1"/>
                      <wps:spPr>
                        <a:xfrm>
                          <a:ext cx="1130935"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В.И. Аникеева</w:t>
                            </w:r>
                          </w:p>
                        </w:txbxContent>
                      </wps:txbx>
                      <wps:bodyPr wrap="none" lIns="0" tIns="0" rIns="0" bIns="0">
                        <a:noAutoFit/>
                      </wps:bodyPr>
                    </wps:wsp>
                  </a:graphicData>
                </a:graphic>
              </wp:anchor>
            </w:drawing>
          </mc:Choice>
          <mc:Fallback>
            <w:pict>
              <v:shape id="_x0000_s1051" type="#_x0000_t202" style="position:absolute;margin-left:477.pt;margin-top:7.pt;width:89.049999999999997pt;height:19.900000000000002pt;z-index:-125829365;mso-wrap-distance-left:0;mso-wrap-distance-top:7.pt;mso-wrap-distance-right:0;mso-wrap-distance-bottom:26.900000000000002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В.И. Аникеева</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rPr>
          <w:sz w:val="11"/>
          <w:szCs w:val="11"/>
        </w:rPr>
      </w:pPr>
      <w:r>
        <w:rPr>
          <w:rStyle w:val="CharStyle27"/>
        </w:rPr>
        <w:t xml:space="preserve">Кому выдан: </w:t>
      </w:r>
      <w:r>
        <w:rPr>
          <w:rStyle w:val="CharStyle27"/>
          <w:color w:val="000000"/>
          <w:sz w:val="11"/>
          <w:szCs w:val="11"/>
        </w:rPr>
        <w:t>Аникеева Вера Ивановна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5FA9E6CB20BCA8AE45AFB646B2A5B65D</w:t>
      </w:r>
    </w:p>
    <w:p>
      <w:pPr>
        <w:pStyle w:val="Style26"/>
        <w:keepNext w:val="0"/>
        <w:keepLines w:val="0"/>
        <w:widowControl w:val="0"/>
        <w:shd w:val="clear" w:color="auto" w:fill="auto"/>
        <w:bidi w:val="0"/>
        <w:spacing w:before="0" w:after="280" w:line="240" w:lineRule="auto"/>
        <w:ind w:right="0" w:firstLine="0"/>
        <w:jc w:val="left"/>
      </w:pPr>
      <w:r>
        <w:rPr>
          <w:rStyle w:val="CharStyle27"/>
        </w:rPr>
        <w:t xml:space="preserve">Действителен с 10.02.2026 </w:t>
      </w:r>
      <w:r>
        <w:rPr>
          <w:rStyle w:val="CharStyle27"/>
          <w:color w:val="555555"/>
        </w:rPr>
        <w:t xml:space="preserve">по </w:t>
      </w:r>
      <w:r>
        <w:rPr>
          <w:rStyle w:val="CharStyle27"/>
        </w:rPr>
        <w:t>06.05.2027</w:t>
      </w:r>
    </w:p>
    <w:p>
      <w:pPr>
        <w:pStyle w:val="Style16"/>
        <w:keepNext w:val="0"/>
        <w:keepLines w:val="0"/>
        <w:widowControl w:val="0"/>
        <w:shd w:val="clear" w:color="auto" w:fill="auto"/>
        <w:bidi w:val="0"/>
        <w:spacing w:before="0" w:after="370" w:line="240" w:lineRule="auto"/>
        <w:ind w:left="0" w:right="0" w:firstLine="0"/>
        <w:jc w:val="center"/>
      </w:pPr>
      <w:r>
        <w:drawing>
          <wp:anchor distT="0" distB="0" distL="114300" distR="1900555" simplePos="0" relativeHeight="125829390" behindDoc="0" locked="0" layoutInCell="1" allowOverlap="1">
            <wp:simplePos x="0" y="0"/>
            <wp:positionH relativeFrom="page">
              <wp:posOffset>2653030</wp:posOffset>
            </wp:positionH>
            <wp:positionV relativeFrom="paragraph">
              <wp:posOffset>63500</wp:posOffset>
            </wp:positionV>
            <wp:extent cx="359410" cy="39624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151765</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2.pt;margin-top:11.950000000000001pt;width:135.59999999999999pt;height:20.40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Ю.П. Хорина</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5"/>
          <w:color w:val="FFFFFF"/>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rStyle w:val="CharStyle27"/>
        </w:rPr>
        <w:t xml:space="preserve">Кому </w:t>
      </w:r>
      <w:r>
        <w:rPr>
          <w:rStyle w:val="CharStyle27"/>
          <w:color w:val="555555"/>
        </w:rPr>
        <w:t xml:space="preserve">выдан: </w:t>
      </w:r>
      <w:r>
        <w:rPr>
          <w:rStyle w:val="CharStyle27"/>
          <w:color w:val="000000"/>
          <w:sz w:val="11"/>
          <w:szCs w:val="11"/>
        </w:rPr>
        <w:t>Хорина Юлия Петровна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00B6BA04CC4FD4D1E06E2AF82EBB5DD4</w:t>
      </w:r>
      <w:r>
        <w:rPr>
          <w:rStyle w:val="CharStyle27"/>
          <w:lang w:val="en-US" w:eastAsia="en-US"/>
        </w:rPr>
        <w:t>4</w:t>
      </w:r>
    </w:p>
    <w:p>
      <w:pPr>
        <w:pStyle w:val="Style26"/>
        <w:keepNext w:val="0"/>
        <w:keepLines w:val="0"/>
        <w:widowControl w:val="0"/>
        <w:shd w:val="clear" w:color="auto" w:fill="auto"/>
        <w:bidi w:val="0"/>
        <w:spacing w:before="0" w:after="60" w:line="240" w:lineRule="auto"/>
        <w:ind w:right="0" w:firstLine="0"/>
        <w:jc w:val="left"/>
      </w:pPr>
      <w:r>
        <w:rPr>
          <w:rStyle w:val="CharStyle27"/>
        </w:rPr>
        <w:t xml:space="preserve">Действителен с 10.02.2026 </w:t>
      </w:r>
      <w:r>
        <w:rPr>
          <w:rStyle w:val="CharStyle27"/>
          <w:color w:val="555555"/>
        </w:rPr>
        <w:t>по 06.05.2027</w:t>
      </w:r>
    </w:p>
    <w:sectPr>
      <w:footnotePr>
        <w:pos w:val="pageBottom"/>
        <w:numFmt w:val="decimal"/>
        <w:numRestart w:val="continuous"/>
      </w:footnotePr>
      <w:type w:val="continuous"/>
      <w:pgSz w:w="11900" w:h="16840"/>
      <w:pgMar w:top="1105" w:right="54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10010140</wp:posOffset>
              </wp:positionV>
              <wp:extent cx="655320" cy="128270"/>
              <wp:wrapNone/>
              <wp:docPr id="1" name="Shape 1"/>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2026-4221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788.20000000000005pt;width:51.600000000000001pt;height:10.1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2026-4221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55320" cy="128270"/>
              <wp:wrapNone/>
              <wp:docPr id="3" name="Shape 3"/>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2026-4221</w:t>
                          </w:r>
                        </w:p>
                      </w:txbxContent>
                    </wps:txbx>
                    <wps:bodyPr wrap="none" lIns="0" tIns="0" rIns="0" bIns="0">
                      <a:spAutoFit/>
                    </wps:bodyPr>
                  </wps:wsp>
                </a:graphicData>
              </a:graphic>
            </wp:anchor>
          </w:drawing>
        </mc:Choice>
        <mc:Fallback>
          <w:pict>
            <v:shape id="_x0000_s1029" type="#_x0000_t202" style="position:absolute;margin-left:56.75pt;margin-top:775.70000000000005pt;width:51.600000000000001pt;height:10.1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2026-4221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10010140</wp:posOffset>
              </wp:positionV>
              <wp:extent cx="655320" cy="128270"/>
              <wp:wrapNone/>
              <wp:docPr id="7" name="Shape 7"/>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2026-4221</w:t>
                          </w:r>
                        </w:p>
                      </w:txbxContent>
                    </wps:txbx>
                    <wps:bodyPr wrap="none" lIns="0" tIns="0" rIns="0" bIns="0">
                      <a:spAutoFit/>
                    </wps:bodyPr>
                  </wps:wsp>
                </a:graphicData>
              </a:graphic>
            </wp:anchor>
          </w:drawing>
        </mc:Choice>
        <mc:Fallback>
          <w:pict>
            <v:shape id="_x0000_s1033" type="#_x0000_t202" style="position:absolute;margin-left:56.75pt;margin-top:788.20000000000005pt;width:51.600000000000001pt;height:10.1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2026-4221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7"/>
      <w:sz w:val="182"/>
      <w:szCs w:val="182"/>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34"/>
      <w:szCs w:val="34"/>
      <w:u w:val="none"/>
      <w:lang w:val="en-US" w:eastAsia="en-US"/>
    </w:rPr>
  </w:style>
  <w:style w:type="character" w:customStyle="1" w:styleId="CharStyle22">
    <w:name w:val="Picture caption_"/>
    <w:basedOn w:val="DefaultParagraphFont"/>
    <w:link w:val="Style21"/>
    <w:rPr>
      <w:rFonts w:ascii="Georgia" w:eastAsia="Georgia" w:hAnsi="Georgia" w:cs="Georgia"/>
      <w:b w:val="0"/>
      <w:bCs w:val="0"/>
      <w:i w:val="0"/>
      <w:iCs w:val="0"/>
      <w:smallCaps w:val="0"/>
      <w:strike w:val="0"/>
      <w:color w:val="292929"/>
      <w:sz w:val="11"/>
      <w:szCs w:val="11"/>
      <w:u w:val="none"/>
    </w:rPr>
  </w:style>
  <w:style w:type="character" w:customStyle="1" w:styleId="CharStyle25">
    <w:name w:val="Body text (5)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04040"/>
      <w:sz w:val="12"/>
      <w:szCs w:val="12"/>
      <w:u w:val="none"/>
    </w:rPr>
  </w:style>
  <w:style w:type="paragraph" w:customStyle="1" w:styleId="Style2">
    <w:name w:val="Body text (6)"/>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76197"/>
      <w:sz w:val="182"/>
      <w:szCs w:val="182"/>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10">
    <w:name w:val="Body text (4)"/>
    <w:basedOn w:val="Normal"/>
    <w:link w:val="CharStyle11"/>
    <w:pPr>
      <w:widowControl w:val="0"/>
      <w:shd w:val="clear" w:color="auto" w:fill="auto"/>
      <w:spacing w:after="21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2">
    <w:name w:val="Heading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Heading #1"/>
    <w:basedOn w:val="Normal"/>
    <w:link w:val="CharStyle19"/>
    <w:pPr>
      <w:widowControl w:val="0"/>
      <w:shd w:val="clear" w:color="auto" w:fill="auto"/>
      <w:spacing w:after="28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1">
    <w:name w:val="Picture caption"/>
    <w:basedOn w:val="Normal"/>
    <w:link w:val="CharStyle22"/>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4">
    <w:name w:val="Body text (5)"/>
    <w:basedOn w:val="Normal"/>
    <w:link w:val="CharStyle25"/>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6">
    <w:name w:val="Body text (2)"/>
    <w:basedOn w:val="Normal"/>
    <w:link w:val="CharStyle27"/>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dc:title>
  <dc:subject/>
  <dc:creator/>
  <cp:keywords/>
</cp:coreProperties>
</file>