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rStyle w:val="CharStyle9"/>
          <w:b/>
          <w:bCs/>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ind w:left="0" w:right="0" w:firstLine="0"/>
        <w:jc w:val="center"/>
      </w:pPr>
      <w:r>
        <w:rPr>
          <w:rStyle w:val="CharStyle3"/>
        </w:rPr>
        <w:t>ул. Ленина, 40, г. Майкоп, 385000</w:t>
        <w:br/>
        <w:t>тел. (8772) 57-05-22</w:t>
        <w:br/>
      </w:r>
      <w:r>
        <w:rPr>
          <w:rStyle w:val="CharStyle3"/>
          <w:lang w:val="en-US" w:eastAsia="en-US"/>
        </w:rPr>
        <w:t xml:space="preserve">e-mail: </w:t>
      </w:r>
      <w:r>
        <w:fldChar w:fldCharType="begin"/>
      </w:r>
      <w:r>
        <w:rPr/>
        <w:instrText> HYPERLINK "mailto:to01@fas.gov.ru" </w:instrText>
      </w:r>
      <w:r>
        <w:fldChar w:fldCharType="separate"/>
      </w:r>
      <w:r>
        <w:rPr>
          <w:rStyle w:val="CharStyle3"/>
          <w:lang w:val="en-US" w:eastAsia="en-US"/>
        </w:rPr>
        <w:t>to01@fas.gov.ru</w:t>
      </w:r>
      <w:r>
        <w:fldChar w:fldCharType="end"/>
      </w:r>
    </w:p>
    <w:p>
      <w:pPr>
        <w:pStyle w:val="Style10"/>
        <w:keepNext w:val="0"/>
        <w:keepLines w:val="0"/>
        <w:widowControl w:val="0"/>
        <w:shd w:val="clear" w:color="auto" w:fill="auto"/>
        <w:tabs>
          <w:tab w:pos="1848" w:val="left"/>
        </w:tabs>
        <w:bidi w:val="0"/>
        <w:spacing w:before="0" w:after="340" w:line="240" w:lineRule="auto"/>
        <w:ind w:left="0" w:right="0" w:firstLine="0"/>
        <w:jc w:val="center"/>
        <w:rPr>
          <w:sz w:val="30"/>
          <w:szCs w:val="30"/>
        </w:rPr>
      </w:pPr>
      <w:r>
        <w:rPr>
          <w:rStyle w:val="CharStyle11"/>
          <w:sz w:val="30"/>
          <w:szCs w:val="30"/>
        </w:rPr>
        <w:t>2</w:t>
      </w:r>
      <w:r>
        <w:fldChar w:fldCharType="begin"/>
      </w:r>
      <w:r>
        <w:rPr/>
        <w:instrText> HYPERLINK "file://f207ca94-a13c-4ba0-b72d-f018c9eed8f1/" </w:instrText>
      </w:r>
      <w:r>
        <w:fldChar w:fldCharType="separate"/>
      </w:r>
      <w:r>
        <w:rPr>
          <w:rStyle w:val="CharStyle11"/>
          <w:sz w:val="30"/>
          <w:szCs w:val="30"/>
        </w:rPr>
        <w:t>2.05.2026</w:t>
        <w:tab/>
      </w:r>
      <w:r>
        <w:fldChar w:fldCharType="end"/>
      </w:r>
      <w:r>
        <w:rPr>
          <w:rStyle w:val="CharStyle11"/>
          <w:sz w:val="30"/>
          <w:szCs w:val="30"/>
        </w:rPr>
        <w:t>№ АЖ/1081/26</w:t>
      </w:r>
    </w:p>
    <w:p>
      <w:pPr>
        <w:pStyle w:val="Style8"/>
        <w:keepNext w:val="0"/>
        <w:keepLines w:val="0"/>
        <w:widowControl w:val="0"/>
        <w:shd w:val="clear" w:color="auto" w:fill="auto"/>
        <w:bidi w:val="0"/>
        <w:spacing w:before="0" w:after="500" w:line="240" w:lineRule="auto"/>
        <w:ind w:left="0" w:right="0" w:firstLine="0"/>
        <w:jc w:val="left"/>
        <w:rPr>
          <w:sz w:val="20"/>
          <w:szCs w:val="20"/>
        </w:rPr>
      </w:pPr>
      <w:r>
        <w:rPr>
          <w:rStyle w:val="CharStyle9"/>
          <w:sz w:val="20"/>
          <w:szCs w:val="20"/>
        </w:rPr>
        <w:t xml:space="preserve">На №  от</w:t>
      </w:r>
    </w:p>
    <w:p>
      <w:pPr>
        <w:pStyle w:val="Style14"/>
        <w:keepNext w:val="0"/>
        <w:keepLines w:val="0"/>
        <w:widowControl w:val="0"/>
        <w:shd w:val="clear" w:color="auto" w:fill="auto"/>
        <w:tabs>
          <w:tab w:pos="4018" w:val="left"/>
        </w:tabs>
        <w:bidi w:val="0"/>
        <w:spacing w:before="0" w:after="0" w:line="240" w:lineRule="auto"/>
        <w:ind w:left="0" w:right="0" w:firstLine="0"/>
        <w:jc w:val="left"/>
        <w:rPr>
          <w:sz w:val="36"/>
          <w:szCs w:val="36"/>
        </w:rPr>
      </w:pPr>
      <w:r>
        <w:rPr>
          <w:rStyle w:val="CharStyle15"/>
          <w:rFonts w:ascii="Arial" w:eastAsia="Arial" w:hAnsi="Arial" w:cs="Arial"/>
          <w:color w:val="46619A"/>
          <w:sz w:val="36"/>
          <w:szCs w:val="36"/>
        </w:rPr>
        <w:t>Г</w:t>
        <w:tab/>
        <w:t>1</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МОНОПОЛИЕМ ПЭШ1УЕКЮРЭ</w:t>
      </w:r>
    </w:p>
    <w:p>
      <w:pPr>
        <w:pStyle w:val="Style2"/>
        <w:keepNext w:val="0"/>
        <w:keepLines w:val="0"/>
        <w:widowControl w:val="0"/>
        <w:shd w:val="clear" w:color="auto" w:fill="auto"/>
        <w:bidi w:val="0"/>
        <w:spacing w:before="0" w:after="140" w:line="288" w:lineRule="auto"/>
        <w:ind w:left="0" w:right="0" w:firstLine="0"/>
        <w:jc w:val="center"/>
        <w:rPr>
          <w:sz w:val="17"/>
          <w:szCs w:val="17"/>
        </w:rPr>
      </w:pPr>
      <w:r>
        <w:rPr>
          <w:rStyle w:val="CharStyle3"/>
          <w:b/>
          <w:bCs/>
          <w:sz w:val="17"/>
          <w:szCs w:val="17"/>
        </w:rPr>
        <w:t>ФЕДЕРАЛЬНЭ КЪУЛЫКЪУР</w:t>
      </w:r>
    </w:p>
    <w:p>
      <w:pPr>
        <w:pStyle w:val="Style8"/>
        <w:keepNext w:val="0"/>
        <w:keepLines w:val="0"/>
        <w:widowControl w:val="0"/>
        <w:shd w:val="clear" w:color="auto" w:fill="auto"/>
        <w:bidi w:val="0"/>
        <w:spacing w:before="0"/>
        <w:ind w:left="0" w:right="0" w:firstLine="0"/>
        <w:jc w:val="center"/>
      </w:pPr>
      <w:r>
        <w:rPr>
          <w:rStyle w:val="CharStyle9"/>
          <w:b/>
          <w:bCs/>
        </w:rPr>
        <w:t>Монополием пэш!уек1орэ</w:t>
        <w:br/>
        <w:t>Федеральнэ къулыкъум</w:t>
        <w:br/>
        <w:t>Адыгэ РеспублкэмкТэ и</w:t>
        <w:br/>
        <w:t>Г ъэ1орыш1ап1</w:t>
      </w:r>
    </w:p>
    <w:p>
      <w:pPr>
        <w:pStyle w:val="Style2"/>
        <w:keepNext w:val="0"/>
        <w:keepLines w:val="0"/>
        <w:widowControl w:val="0"/>
        <w:shd w:val="clear" w:color="auto" w:fill="auto"/>
        <w:bidi w:val="0"/>
        <w:spacing w:before="0" w:after="0" w:line="269" w:lineRule="auto"/>
        <w:ind w:left="0" w:right="0" w:firstLine="0"/>
        <w:jc w:val="center"/>
      </w:pPr>
      <w:r>
        <w:rPr>
          <w:rStyle w:val="CharStyle3"/>
        </w:rPr>
        <w:t>Лениным иур.. 40, къ. Мыекъуапэ, 385000</w:t>
        <w:br/>
        <w:t>тел./факс: (8772) 57-05-22</w:t>
        <w:br/>
      </w:r>
      <w:r>
        <w:rPr>
          <w:rStyle w:val="CharStyle3"/>
          <w:lang w:val="en-US" w:eastAsia="en-US"/>
        </w:rPr>
        <w:t xml:space="preserve">e-mail: </w:t>
      </w:r>
      <w:r>
        <w:fldChar w:fldCharType="begin"/>
      </w:r>
      <w:r>
        <w:rPr/>
        <w:instrText> HYPERLINK "mailto:to01@fas.gov.ru" </w:instrText>
      </w:r>
      <w:r>
        <w:fldChar w:fldCharType="separate"/>
      </w:r>
      <w:r>
        <w:rPr>
          <w:rStyle w:val="CharStyle3"/>
          <w:lang w:val="en-US" w:eastAsia="en-US"/>
        </w:rPr>
        <w:t>to01@fas.gov.ru</w:t>
      </w:r>
      <w:r>
        <w:fldChar w:fldCharType="end"/>
      </w:r>
    </w:p>
    <w:p>
      <w:pPr>
        <w:pStyle w:val="Style10"/>
        <w:keepNext w:val="0"/>
        <w:keepLines w:val="0"/>
        <w:widowControl w:val="0"/>
        <w:shd w:val="clear" w:color="auto" w:fill="auto"/>
        <w:bidi w:val="0"/>
        <w:spacing w:before="0" w:after="280" w:line="240" w:lineRule="auto"/>
        <w:ind w:left="0" w:right="0" w:firstLine="0"/>
        <w:jc w:val="left"/>
      </w:pPr>
      <w:r>
        <w:rPr>
          <w:rStyle w:val="CharStyle11"/>
        </w:rPr>
        <w:t xml:space="preserve">ГБУЗ РА "АРКОД им. М.Х. Ашхамафа", </w:t>
      </w:r>
      <w:r>
        <w:fldChar w:fldCharType="begin"/>
      </w:r>
      <w:r>
        <w:rPr/>
        <w:instrText> HYPERLINK "mailto:arkod@adygheya.gov.ru" </w:instrText>
      </w:r>
      <w:r>
        <w:fldChar w:fldCharType="separate"/>
      </w:r>
      <w:r>
        <w:rPr>
          <w:rStyle w:val="CharStyle11"/>
          <w:color w:val="000080"/>
          <w:u w:val="single"/>
          <w:lang w:val="en-US" w:eastAsia="en-US"/>
        </w:rPr>
        <w:t>arkod@adygheya.gov.ru</w:t>
      </w:r>
      <w:r>
        <w:fldChar w:fldCharType="end"/>
      </w:r>
    </w:p>
    <w:p>
      <w:pPr>
        <w:pStyle w:val="Style10"/>
        <w:keepNext w:val="0"/>
        <w:keepLines w:val="0"/>
        <w:widowControl w:val="0"/>
        <w:shd w:val="clear" w:color="auto" w:fill="auto"/>
        <w:bidi w:val="0"/>
        <w:spacing w:before="0" w:after="0" w:line="240" w:lineRule="auto"/>
        <w:ind w:left="0" w:right="0" w:firstLine="0"/>
        <w:jc w:val="left"/>
        <w:sectPr>
          <w:footerReference w:type="default" r:id="rId7"/>
          <w:footerReference w:type="even" r:id="rId8"/>
          <w:footnotePr>
            <w:pos w:val="pageBottom"/>
            <w:numFmt w:val="decimal"/>
            <w:numRestart w:val="continuous"/>
          </w:footnotePr>
          <w:pgSz w:w="11900" w:h="16840"/>
          <w:pgMar w:top="462" w:right="906" w:bottom="1184" w:left="1106" w:header="34" w:footer="3" w:gutter="0"/>
          <w:pgNumType w:start="1"/>
          <w:cols w:num="2" w:space="720" w:equalWidth="0">
            <w:col w:w="4310" w:space="686"/>
            <w:col w:w="4891"/>
          </w:cols>
          <w:noEndnote/>
          <w:rtlGutter w:val="0"/>
          <w:docGrid w:linePitch="360"/>
        </w:sectPr>
      </w:pPr>
      <w:r>
        <w:rPr>
          <w:rStyle w:val="CharStyle11"/>
        </w:rPr>
        <w:t>Комитет Республики Адыгея по регулированию контрактной системы в сфере закупок,</w:t>
      </w:r>
      <w:r>
        <w:fldChar w:fldCharType="begin"/>
      </w:r>
      <w:r>
        <w:rPr/>
        <w:instrText> HYPERLINK "mailto:zakupki@adygheya.gov.ru" </w:instrText>
      </w:r>
      <w:r>
        <w:fldChar w:fldCharType="separate"/>
      </w:r>
      <w:r>
        <w:rPr>
          <w:rStyle w:val="CharStyle11"/>
        </w:rPr>
        <w:t xml:space="preserve"> </w:t>
      </w:r>
      <w:r>
        <w:rPr>
          <w:rStyle w:val="CharStyle11"/>
          <w:color w:val="000080"/>
          <w:u w:val="single"/>
          <w:lang w:val="en-US" w:eastAsia="en-US"/>
        </w:rPr>
        <w:t>zakupki@adygheya.gov.ru</w:t>
      </w:r>
      <w:r>
        <w:fldChar w:fldCharType="end"/>
      </w:r>
    </w:p>
    <w:p>
      <w:pPr>
        <w:widowControl w:val="0"/>
        <w:spacing w:line="180" w:lineRule="exact"/>
        <w:rPr>
          <w:sz w:val="14"/>
          <w:szCs w:val="14"/>
        </w:rPr>
      </w:pPr>
    </w:p>
    <w:p>
      <w:pPr>
        <w:widowControl w:val="0"/>
        <w:spacing w:line="1" w:lineRule="exact"/>
        <w:sectPr>
          <w:footnotePr>
            <w:pos w:val="pageBottom"/>
            <w:numFmt w:val="decimal"/>
            <w:numRestart w:val="continuous"/>
          </w:footnotePr>
          <w:type w:val="continuous"/>
          <w:pgSz w:w="11900" w:h="16840"/>
          <w:pgMar w:top="462" w:right="0" w:bottom="1184"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5020" w:right="0" w:firstLine="0"/>
        <w:jc w:val="both"/>
      </w:pPr>
      <w:r>
        <w:rPr>
          <w:rStyle w:val="CharStyle11"/>
        </w:rPr>
        <w:t>ИП КРАВЧЕНКО АЛЕКСЕЙ</w:t>
      </w:r>
    </w:p>
    <w:p>
      <w:pPr>
        <w:pStyle w:val="Style10"/>
        <w:keepNext w:val="0"/>
        <w:keepLines w:val="0"/>
        <w:widowControl w:val="0"/>
        <w:shd w:val="clear" w:color="auto" w:fill="auto"/>
        <w:bidi w:val="0"/>
        <w:spacing w:before="0" w:after="720" w:line="240" w:lineRule="auto"/>
        <w:ind w:left="5020" w:right="0" w:firstLine="0"/>
        <w:jc w:val="both"/>
      </w:pPr>
      <w:r>
        <w:rPr>
          <w:rStyle w:val="CharStyle11"/>
        </w:rPr>
        <w:t xml:space="preserve">ВИКТОРОВИЧ, </w:t>
      </w:r>
      <w:r>
        <w:fldChar w:fldCharType="begin"/>
      </w:r>
      <w:r>
        <w:rPr/>
        <w:instrText> HYPERLINK "mailto:info@gosfarm.ru" </w:instrText>
      </w:r>
      <w:r>
        <w:fldChar w:fldCharType="separate"/>
      </w:r>
      <w:r>
        <w:rPr>
          <w:rStyle w:val="CharStyle11"/>
          <w:color w:val="000080"/>
          <w:u w:val="single"/>
          <w:lang w:val="en-US" w:eastAsia="en-US"/>
        </w:rPr>
        <w:t>info@gosfarm.ru</w:t>
      </w:r>
      <w:r>
        <w:fldChar w:fldCharType="end"/>
      </w:r>
    </w:p>
    <w:p>
      <w:pPr>
        <w:pStyle w:val="Style10"/>
        <w:keepNext w:val="0"/>
        <w:keepLines w:val="0"/>
        <w:widowControl w:val="0"/>
        <w:shd w:val="clear" w:color="auto" w:fill="auto"/>
        <w:bidi w:val="0"/>
        <w:spacing w:before="0" w:after="0" w:line="269" w:lineRule="auto"/>
        <w:ind w:left="0" w:right="0" w:firstLine="0"/>
        <w:jc w:val="center"/>
      </w:pPr>
      <w:r>
        <w:rPr>
          <w:rStyle w:val="CharStyle11"/>
        </w:rPr>
        <w:t>РЕШЕНИЕ</w:t>
      </w:r>
    </w:p>
    <w:p>
      <w:pPr>
        <w:pStyle w:val="Style10"/>
        <w:keepNext w:val="0"/>
        <w:keepLines w:val="0"/>
        <w:widowControl w:val="0"/>
        <w:shd w:val="clear" w:color="auto" w:fill="auto"/>
        <w:bidi w:val="0"/>
        <w:spacing w:before="0" w:after="340" w:line="269" w:lineRule="auto"/>
        <w:ind w:left="0" w:right="0" w:firstLine="0"/>
        <w:jc w:val="center"/>
      </w:pPr>
      <w:r>
        <w:rPr>
          <w:rStyle w:val="CharStyle11"/>
        </w:rPr>
        <w:t xml:space="preserve">по делу </w:t>
      </w:r>
      <w:r>
        <w:rPr>
          <w:rStyle w:val="CharStyle11"/>
          <w:lang w:val="en-US" w:eastAsia="en-US"/>
        </w:rPr>
        <w:t xml:space="preserve">№001/06/105-204/2026 </w:t>
      </w:r>
      <w:r>
        <w:rPr>
          <w:rStyle w:val="CharStyle11"/>
        </w:rPr>
        <w:t>об итогах</w:t>
        <w:br/>
        <w:t>рассмотрения жалобы</w:t>
      </w:r>
    </w:p>
    <w:p>
      <w:pPr>
        <w:pStyle w:val="Style10"/>
        <w:keepNext w:val="0"/>
        <w:keepLines w:val="0"/>
        <w:widowControl w:val="0"/>
        <w:shd w:val="clear" w:color="auto" w:fill="auto"/>
        <w:tabs>
          <w:tab w:pos="8688" w:val="left"/>
        </w:tabs>
        <w:bidi w:val="0"/>
        <w:spacing w:before="0" w:after="220" w:line="240" w:lineRule="auto"/>
        <w:ind w:left="0" w:right="0" w:firstLine="0"/>
        <w:jc w:val="left"/>
      </w:pPr>
      <w:r>
        <w:rPr>
          <w:rStyle w:val="CharStyle11"/>
          <w:lang w:val="en-US" w:eastAsia="en-US"/>
        </w:rPr>
        <w:t>22.05.2026</w:t>
        <w:tab/>
      </w:r>
      <w:r>
        <w:rPr>
          <w:rStyle w:val="CharStyle11"/>
        </w:rPr>
        <w:t>г. Майкоп</w:t>
      </w:r>
    </w:p>
    <w:p>
      <w:pPr>
        <w:pStyle w:val="Style10"/>
        <w:keepNext w:val="0"/>
        <w:keepLines w:val="0"/>
        <w:widowControl w:val="0"/>
        <w:shd w:val="clear" w:color="auto" w:fill="auto"/>
        <w:bidi w:val="0"/>
        <w:spacing w:before="0" w:after="220" w:line="240" w:lineRule="auto"/>
        <w:ind w:left="0" w:right="0" w:firstLine="0"/>
        <w:jc w:val="left"/>
      </w:pPr>
      <w:r>
        <w:rPr>
          <w:rStyle w:val="CharStyle11"/>
        </w:rPr>
        <w:t xml:space="preserve">Резолютивная часть оглашена: </w:t>
      </w:r>
      <w:r>
        <w:rPr>
          <w:rStyle w:val="CharStyle11"/>
          <w:lang w:val="en-US" w:eastAsia="en-US"/>
        </w:rPr>
        <w:t>21.05.2026</w:t>
      </w:r>
    </w:p>
    <w:p>
      <w:pPr>
        <w:pStyle w:val="Style10"/>
        <w:keepNext w:val="0"/>
        <w:keepLines w:val="0"/>
        <w:widowControl w:val="0"/>
        <w:shd w:val="clear" w:color="auto" w:fill="auto"/>
        <w:bidi w:val="0"/>
        <w:spacing w:before="0" w:after="340" w:line="240" w:lineRule="auto"/>
        <w:ind w:left="0" w:right="0" w:firstLine="740"/>
        <w:jc w:val="both"/>
      </w:pPr>
      <w:r>
        <w:rPr>
          <w:rStyle w:val="CharStyle11"/>
        </w:rPr>
        <w:t xml:space="preserve">Комиссия Управления Федеральной антимонопольной службы по Республике Адыгея по контролю в сфере закупок (далее </w:t>
      </w:r>
      <w:r>
        <w:rPr>
          <w:rStyle w:val="CharStyle11"/>
          <w:lang w:val="en-US" w:eastAsia="en-US"/>
        </w:rPr>
        <w:t xml:space="preserve">– </w:t>
      </w:r>
      <w:r>
        <w:rPr>
          <w:rStyle w:val="CharStyle11"/>
        </w:rPr>
        <w:t xml:space="preserve">Комиссия Адыгейского УФАС России) в составе: председателя Комиссии УФАС </w:t>
      </w:r>
      <w:r>
        <w:rPr>
          <w:rStyle w:val="CharStyle11"/>
          <w:lang w:val="en-US" w:eastAsia="en-US"/>
        </w:rPr>
        <w:t xml:space="preserve">– </w:t>
      </w:r>
      <w:r>
        <w:rPr>
          <w:rStyle w:val="CharStyle11"/>
        </w:rPr>
        <w:t xml:space="preserve">Жукова А.Г., заместителя руководителя Адыгейского УФАС России; членов Комиссии УФАС: Блягоза Р.Х., начальника отдела контроля закупок Адыгейского УФАС России; Клюкиной Н.А., главного специалиста-эксперта отдела контроля закупок Адыгейского УФАС России; с участием представителя </w:t>
      </w:r>
      <w:r>
        <w:rPr>
          <w:rStyle w:val="CharStyle11"/>
          <w:b/>
          <w:bCs/>
        </w:rPr>
        <w:t xml:space="preserve">Государственного бюджетного учреждения здравоохранения Республики Адыгея «Адыгейский республиканский клинический онкологический диспансер имени М.Х. Ашхамафа» </w:t>
      </w:r>
      <w:r>
        <w:rPr>
          <w:rStyle w:val="CharStyle11"/>
        </w:rPr>
        <w:t xml:space="preserve">(далее </w:t>
      </w:r>
      <w:r>
        <w:rPr>
          <w:rStyle w:val="CharStyle11"/>
          <w:lang w:val="en-US" w:eastAsia="en-US"/>
        </w:rPr>
        <w:t xml:space="preserve">– </w:t>
      </w:r>
      <w:r>
        <w:rPr>
          <w:rStyle w:val="CharStyle11"/>
        </w:rPr>
        <w:t xml:space="preserve">Заказчик; ГБУЗ РА «АРКОД им.М.Х.Ашхамафа») Биданока А.Ю. (доверенность </w:t>
      </w:r>
      <w:r>
        <w:rPr>
          <w:rStyle w:val="CharStyle11"/>
          <w:lang w:val="en-US" w:eastAsia="en-US"/>
        </w:rPr>
        <w:t xml:space="preserve">№255 </w:t>
      </w:r>
      <w:r>
        <w:rPr>
          <w:rStyle w:val="CharStyle11"/>
        </w:rPr>
        <w:t xml:space="preserve">от </w:t>
      </w:r>
      <w:r>
        <w:rPr>
          <w:rStyle w:val="CharStyle11"/>
          <w:lang w:val="en-US" w:eastAsia="en-US"/>
        </w:rPr>
        <w:t xml:space="preserve">30.03.2025), </w:t>
      </w:r>
      <w:r>
        <w:rPr>
          <w:rStyle w:val="CharStyle11"/>
        </w:rPr>
        <w:t xml:space="preserve">рассмотрев жалобу </w:t>
      </w:r>
      <w:r>
        <w:rPr>
          <w:rStyle w:val="CharStyle11"/>
          <w:b/>
          <w:bCs/>
        </w:rPr>
        <w:t xml:space="preserve">индивидуального предпринимателя Кравченко Алексея Викторовича </w:t>
      </w:r>
      <w:r>
        <w:rPr>
          <w:rStyle w:val="CharStyle11"/>
        </w:rPr>
        <w:t xml:space="preserve">(далее </w:t>
      </w:r>
      <w:r>
        <w:rPr>
          <w:rStyle w:val="CharStyle11"/>
          <w:lang w:val="en-US" w:eastAsia="en-US"/>
        </w:rPr>
        <w:t xml:space="preserve">– </w:t>
      </w:r>
      <w:r>
        <w:rPr>
          <w:rStyle w:val="CharStyle11"/>
        </w:rPr>
        <w:t xml:space="preserve">Заявитель; ИП Кравченко А.В.) на действия Заказчика при проведении электронного аукциона на поставку системы ультразвуковой визуализации универсальной, с питанием от сети (извещение </w:t>
      </w:r>
      <w:r>
        <w:rPr>
          <w:rStyle w:val="CharStyle11"/>
          <w:lang w:val="en-US" w:eastAsia="en-US"/>
        </w:rPr>
        <w:t xml:space="preserve">№176200005526000934) </w:t>
      </w:r>
      <w:r>
        <w:rPr>
          <w:rStyle w:val="CharStyle11"/>
        </w:rPr>
        <w:t xml:space="preserve">(далее </w:t>
      </w:r>
      <w:r>
        <w:rPr>
          <w:rStyle w:val="CharStyle11"/>
          <w:lang w:val="en-US" w:eastAsia="en-US"/>
        </w:rPr>
        <w:t xml:space="preserve">– </w:t>
      </w:r>
      <w:r>
        <w:rPr>
          <w:rStyle w:val="CharStyle11"/>
        </w:rPr>
        <w:t xml:space="preserve">закупка, Аукцион), проведя внеплановую проверку на основании пункта </w:t>
      </w:r>
      <w:r>
        <w:rPr>
          <w:rStyle w:val="CharStyle11"/>
          <w:lang w:val="en-US" w:eastAsia="en-US"/>
        </w:rPr>
        <w:t xml:space="preserve">1 </w:t>
      </w:r>
      <w:r>
        <w:rPr>
          <w:rStyle w:val="CharStyle11"/>
        </w:rPr>
        <w:t xml:space="preserve">части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 xml:space="preserve">Федерального закона от </w:t>
      </w:r>
      <w:r>
        <w:rPr>
          <w:rStyle w:val="CharStyle11"/>
          <w:lang w:val="en-US" w:eastAsia="en-US"/>
        </w:rPr>
        <w:t>05.04.2013 № 44-</w:t>
      </w:r>
    </w:p>
    <w:p>
      <w:pPr>
        <w:pStyle w:val="Style14"/>
        <w:keepNext w:val="0"/>
        <w:keepLines w:val="0"/>
        <w:widowControl w:val="0"/>
        <w:shd w:val="clear" w:color="auto" w:fill="auto"/>
        <w:bidi w:val="0"/>
        <w:spacing w:before="0" w:after="340" w:line="240" w:lineRule="auto"/>
        <w:ind w:left="0" w:right="0" w:firstLine="0"/>
        <w:jc w:val="left"/>
        <w:rPr>
          <w:sz w:val="50"/>
          <w:szCs w:val="50"/>
        </w:rPr>
        <w:sectPr>
          <w:footnotePr>
            <w:pos w:val="pageBottom"/>
            <w:numFmt w:val="decimal"/>
            <w:numRestart w:val="continuous"/>
          </w:footnotePr>
          <w:type w:val="continuous"/>
          <w:pgSz w:w="11900" w:h="16840"/>
          <w:pgMar w:top="462" w:right="532" w:bottom="1184" w:left="1097" w:header="0" w:footer="3" w:gutter="0"/>
          <w:cols w:space="720"/>
          <w:noEndnote/>
          <w:rtlGutter w:val="0"/>
          <w:docGrid w:linePitch="360"/>
        </w:sectPr>
      </w:pPr>
      <w:r>
        <w:rPr>
          <w:rStyle w:val="CharStyle15"/>
          <w:rFonts w:ascii="Arial" w:eastAsia="Arial" w:hAnsi="Arial" w:cs="Arial"/>
          <w:sz w:val="50"/>
          <w:szCs w:val="50"/>
          <w:lang w:val="en-US" w:eastAsia="en-US"/>
        </w:rPr>
        <w:t>1IIIIIIIIIIIIIIIIIIIIIII</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ФЗ «О контрактной системе в сфере закупок товаров, работ, услуг для государственных и муниципальных нужд» (далее </w:t>
      </w:r>
      <w:r>
        <w:rPr>
          <w:rStyle w:val="CharStyle11"/>
          <w:lang w:val="en-US" w:eastAsia="en-US"/>
        </w:rPr>
        <w:t xml:space="preserve">– </w:t>
      </w:r>
      <w:r>
        <w:rPr>
          <w:rStyle w:val="CharStyle11"/>
        </w:rPr>
        <w:t>Закон о контрактной системе), УСТАНОВИЛА:</w:t>
      </w:r>
    </w:p>
    <w:p>
      <w:pPr>
        <w:pStyle w:val="Style20"/>
        <w:keepNext/>
        <w:keepLines/>
        <w:widowControl w:val="0"/>
        <w:shd w:val="clear" w:color="auto" w:fill="auto"/>
        <w:bidi w:val="0"/>
        <w:spacing w:before="0" w:after="0" w:line="240" w:lineRule="auto"/>
        <w:ind w:left="0" w:right="0"/>
        <w:jc w:val="both"/>
      </w:pPr>
      <w:bookmarkStart w:id="0" w:name="bookmark0"/>
      <w:r>
        <w:rPr>
          <w:rStyle w:val="CharStyle21"/>
        </w:rPr>
        <w:t xml:space="preserve">Федеральной антимонопольной службой России в Адыгейское УФАС России </w:t>
      </w:r>
      <w:r>
        <w:rPr>
          <w:rStyle w:val="CharStyle21"/>
          <w:lang w:val="en-US" w:eastAsia="en-US"/>
        </w:rPr>
        <w:t xml:space="preserve">17.05.2026 </w:t>
      </w:r>
      <w:r>
        <w:rPr>
          <w:rStyle w:val="CharStyle21"/>
        </w:rPr>
        <w:t xml:space="preserve">перенаправлена для рассмотрения по подведомственности жалоба Заявителя от </w:t>
      </w:r>
      <w:r>
        <w:rPr>
          <w:rStyle w:val="CharStyle21"/>
          <w:lang w:val="en-US" w:eastAsia="en-US"/>
        </w:rPr>
        <w:t xml:space="preserve">14.05.2026, </w:t>
      </w:r>
      <w:r>
        <w:rPr>
          <w:rStyle w:val="CharStyle21"/>
        </w:rPr>
        <w:t>в которой указано, что в действиях Заказчика содержатся следующие нарушения:</w:t>
      </w:r>
      <w:bookmarkEnd w:id="0"/>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2" w:name="bookmark2"/>
      <w:r>
        <w:rPr>
          <w:rStyle w:val="CharStyle21"/>
        </w:rPr>
        <w:t>«</w:t>
      </w:r>
      <w:r>
        <w:rPr>
          <w:rStyle w:val="CharStyle21"/>
          <w:i/>
          <w:iCs/>
        </w:rPr>
        <w:t>Нарушены сроки и время окончания подачи заявок относительно размещения извещения</w:t>
      </w:r>
      <w:r>
        <w:rPr>
          <w:rStyle w:val="CharStyle21"/>
        </w:rPr>
        <w:t>»;</w:t>
      </w:r>
      <w:bookmarkEnd w:id="2"/>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4" w:name="bookmark4"/>
      <w:r>
        <w:rPr>
          <w:rStyle w:val="CharStyle21"/>
        </w:rPr>
        <w:t>«</w:t>
      </w:r>
      <w:r>
        <w:rPr>
          <w:rStyle w:val="CharStyle21"/>
          <w:i/>
          <w:iCs/>
        </w:rPr>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r>
        <w:rPr>
          <w:rStyle w:val="CharStyle21"/>
        </w:rPr>
        <w:t>»;</w:t>
      </w:r>
      <w:bookmarkEnd w:id="4"/>
    </w:p>
    <w:p>
      <w:pPr>
        <w:pStyle w:val="Style20"/>
        <w:keepNext/>
        <w:keepLines/>
        <w:widowControl w:val="0"/>
        <w:numPr>
          <w:ilvl w:val="0"/>
          <w:numId w:val="1"/>
        </w:numPr>
        <w:shd w:val="clear" w:color="auto" w:fill="auto"/>
        <w:tabs>
          <w:tab w:pos="1888" w:val="left"/>
        </w:tabs>
        <w:bidi w:val="0"/>
        <w:spacing w:before="0" w:after="0" w:line="240" w:lineRule="auto"/>
        <w:ind w:left="0" w:right="0"/>
        <w:jc w:val="both"/>
      </w:pPr>
      <w:bookmarkStart w:id="6" w:name="bookmark6"/>
      <w:r>
        <w:rPr>
          <w:rStyle w:val="CharStyle21"/>
        </w:rPr>
        <w:t>«</w:t>
      </w:r>
      <w:r>
        <w:rPr>
          <w:rStyle w:val="CharStyle21"/>
          <w:i/>
          <w:iCs/>
        </w:rPr>
        <w:t xml:space="preserve">Заказчик не установил ограничения по ПП </w:t>
      </w:r>
      <w:r>
        <w:rPr>
          <w:rStyle w:val="CharStyle21"/>
          <w:i/>
          <w:iCs/>
          <w:lang w:val="en-US" w:eastAsia="en-US"/>
        </w:rPr>
        <w:t xml:space="preserve">878 </w:t>
      </w:r>
      <w:r>
        <w:rPr>
          <w:rStyle w:val="CharStyle21"/>
          <w:i/>
          <w:iCs/>
        </w:rPr>
        <w:t xml:space="preserve">и </w:t>
      </w:r>
      <w:r>
        <w:rPr>
          <w:rStyle w:val="CharStyle21"/>
          <w:i/>
          <w:iCs/>
          <w:lang w:val="en-US" w:eastAsia="en-US"/>
        </w:rPr>
        <w:t>126</w:t>
      </w:r>
      <w:r>
        <w:rPr>
          <w:rStyle w:val="CharStyle21"/>
          <w:lang w:val="en-US" w:eastAsia="en-US"/>
        </w:rPr>
        <w:t>»;</w:t>
      </w:r>
      <w:bookmarkEnd w:id="6"/>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8" w:name="bookmark8"/>
      <w:r>
        <w:rPr>
          <w:rStyle w:val="CharStyle21"/>
        </w:rPr>
        <w:t>«</w:t>
      </w:r>
      <w:r>
        <w:rPr>
          <w:rStyle w:val="CharStyle21"/>
          <w:i/>
          <w:iCs/>
        </w:rPr>
        <w:t xml:space="preserve">Заказчик установил (не применил) ограничения допуска по Постановлению </w:t>
      </w:r>
      <w:r>
        <w:rPr>
          <w:rStyle w:val="CharStyle21"/>
          <w:i/>
          <w:iCs/>
          <w:lang w:val="en-US" w:eastAsia="en-US"/>
        </w:rPr>
        <w:t>№1875</w:t>
      </w:r>
      <w:r>
        <w:rPr>
          <w:rStyle w:val="CharStyle21"/>
          <w:lang w:val="en-US" w:eastAsia="en-US"/>
        </w:rPr>
        <w:t>»;</w:t>
      </w:r>
      <w:bookmarkEnd w:id="8"/>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10" w:name="bookmark10"/>
      <w:r>
        <w:rPr>
          <w:rStyle w:val="CharStyle21"/>
          <w:sz w:val="24"/>
          <w:szCs w:val="24"/>
        </w:rPr>
        <w:t>«</w:t>
      </w:r>
      <w:r>
        <w:rPr>
          <w:rStyle w:val="CharStyle21"/>
          <w:i/>
          <w:iCs/>
        </w:rPr>
        <w:t>Технические характеристики в извещении не соответствуют ни одному Оборудованию российского производства из реестра РЭП</w:t>
      </w:r>
      <w:r>
        <w:rPr>
          <w:rStyle w:val="CharStyle21"/>
        </w:rPr>
        <w:t xml:space="preserve">», что является нарушением требований части </w:t>
      </w:r>
      <w:r>
        <w:rPr>
          <w:rStyle w:val="CharStyle21"/>
          <w:lang w:val="en-US" w:eastAsia="en-US"/>
        </w:rPr>
        <w:t xml:space="preserve">1.1 </w:t>
      </w:r>
      <w:r>
        <w:rPr>
          <w:rStyle w:val="CharStyle21"/>
        </w:rPr>
        <w:t xml:space="preserve">статьи </w:t>
      </w:r>
      <w:r>
        <w:rPr>
          <w:rStyle w:val="CharStyle21"/>
          <w:lang w:val="en-US" w:eastAsia="en-US"/>
        </w:rPr>
        <w:t xml:space="preserve">33 </w:t>
      </w:r>
      <w:r>
        <w:rPr>
          <w:rStyle w:val="CharStyle21"/>
        </w:rPr>
        <w:t>Закона о контрактной системе;</w:t>
      </w:r>
      <w:bookmarkEnd w:id="10"/>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12" w:name="bookmark12"/>
      <w:r>
        <w:rPr>
          <w:rStyle w:val="CharStyle21"/>
        </w:rPr>
        <w:t>«</w:t>
      </w:r>
      <w:r>
        <w:rPr>
          <w:rStyle w:val="CharStyle21"/>
          <w:i/>
          <w:iCs/>
        </w:rPr>
        <w:t xml:space="preserve">Заказчик не применил Постановление Правительства РФ от </w:t>
      </w:r>
      <w:r>
        <w:rPr>
          <w:rStyle w:val="CharStyle21"/>
          <w:i/>
          <w:iCs/>
          <w:lang w:val="en-US" w:eastAsia="en-US"/>
        </w:rPr>
        <w:t xml:space="preserve">16 </w:t>
      </w:r>
      <w:r>
        <w:rPr>
          <w:rStyle w:val="CharStyle21"/>
          <w:i/>
          <w:iCs/>
        </w:rPr>
        <w:t xml:space="preserve">ноября </w:t>
      </w:r>
      <w:r>
        <w:rPr>
          <w:rStyle w:val="CharStyle21"/>
          <w:i/>
          <w:iCs/>
          <w:lang w:val="en-US" w:eastAsia="en-US"/>
        </w:rPr>
        <w:t xml:space="preserve">2015 </w:t>
      </w:r>
      <w:r>
        <w:rPr>
          <w:rStyle w:val="CharStyle21"/>
          <w:i/>
          <w:iCs/>
        </w:rPr>
        <w:t xml:space="preserve">г. </w:t>
      </w:r>
      <w:r>
        <w:rPr>
          <w:rStyle w:val="CharStyle21"/>
          <w:i/>
          <w:iCs/>
          <w:lang w:val="en-US" w:eastAsia="en-US"/>
        </w:rPr>
        <w:t xml:space="preserve">№1236 </w:t>
      </w:r>
      <w:r>
        <w:rPr>
          <w:rStyle w:val="CharStyle21"/>
          <w:i/>
          <w:iCs/>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Style w:val="CharStyle21"/>
        </w:rPr>
        <w:t xml:space="preserve"> (далее </w:t>
      </w:r>
      <w:r>
        <w:rPr>
          <w:rStyle w:val="CharStyle21"/>
          <w:lang w:val="en-US" w:eastAsia="en-US"/>
        </w:rPr>
        <w:t xml:space="preserve">– </w:t>
      </w:r>
      <w:r>
        <w:rPr>
          <w:rStyle w:val="CharStyle21"/>
        </w:rPr>
        <w:t xml:space="preserve">Постановление </w:t>
      </w:r>
      <w:r>
        <w:rPr>
          <w:rStyle w:val="CharStyle21"/>
          <w:lang w:val="en-US" w:eastAsia="en-US"/>
        </w:rPr>
        <w:t xml:space="preserve">№1236) </w:t>
      </w:r>
      <w:r>
        <w:rPr>
          <w:rStyle w:val="CharStyle21"/>
          <w:i/>
          <w:iCs/>
        </w:rPr>
        <w:t>(запрет на допуск программного обеспечения, происходящего из иностранных государств)</w:t>
      </w:r>
      <w:r>
        <w:rPr>
          <w:rStyle w:val="CharStyle21"/>
        </w:rPr>
        <w:t>;</w:t>
      </w:r>
      <w:bookmarkEnd w:id="12"/>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14" w:name="bookmark14"/>
      <w:r>
        <w:rPr>
          <w:rStyle w:val="CharStyle21"/>
        </w:rPr>
        <w:t>«</w:t>
      </w:r>
      <w:r>
        <w:rPr>
          <w:rStyle w:val="CharStyle21"/>
          <w:i/>
          <w:iCs/>
        </w:rPr>
        <w:t>Заказчик явным образом не сформулировал требования в отношении ПО, что нарушает ч.3 ст.7 Закона о контрактной системе</w:t>
      </w:r>
      <w:r>
        <w:rPr>
          <w:rStyle w:val="CharStyle21"/>
        </w:rPr>
        <w:t>»; «</w:t>
      </w:r>
      <w:r>
        <w:rPr>
          <w:rStyle w:val="CharStyle21"/>
          <w:i/>
          <w:iCs/>
        </w:rPr>
        <w:t>из Описания объекта закупки невозможно идентифицировать, что ПО является предустановленным либо поставляемым</w:t>
      </w:r>
      <w:r>
        <w:rPr>
          <w:rStyle w:val="CharStyle21"/>
        </w:rPr>
        <w:t>»;</w:t>
      </w:r>
      <w:bookmarkEnd w:id="14"/>
    </w:p>
    <w:p>
      <w:pPr>
        <w:pStyle w:val="Style20"/>
        <w:keepNext/>
        <w:keepLines/>
        <w:widowControl w:val="0"/>
        <w:numPr>
          <w:ilvl w:val="0"/>
          <w:numId w:val="1"/>
        </w:numPr>
        <w:shd w:val="clear" w:color="auto" w:fill="auto"/>
        <w:tabs>
          <w:tab w:pos="1360" w:val="left"/>
        </w:tabs>
        <w:bidi w:val="0"/>
        <w:spacing w:before="0" w:after="0" w:line="240" w:lineRule="auto"/>
        <w:ind w:left="0" w:right="0"/>
        <w:jc w:val="both"/>
      </w:pPr>
      <w:bookmarkStart w:id="16" w:name="bookmark16"/>
      <w:r>
        <w:rPr>
          <w:rStyle w:val="CharStyle21"/>
        </w:rPr>
        <w:t>«</w:t>
      </w:r>
      <w:r>
        <w:rPr>
          <w:rStyle w:val="CharStyle21"/>
          <w:i/>
          <w:iCs/>
        </w:rPr>
        <w:t xml:space="preserve">Заказчик закупает программу </w:t>
      </w:r>
      <w:r>
        <w:rPr>
          <w:rStyle w:val="CharStyle21"/>
          <w:i/>
          <w:iCs/>
          <w:lang w:val="en-US" w:eastAsia="en-US"/>
        </w:rPr>
        <w:t xml:space="preserve">DIKOM, </w:t>
      </w:r>
      <w:r>
        <w:rPr>
          <w:rStyle w:val="CharStyle21"/>
          <w:i/>
          <w:iCs/>
        </w:rPr>
        <w:t>которая является</w:t>
      </w:r>
      <w:bookmarkEnd w:id="16"/>
    </w:p>
    <w:p>
      <w:pPr>
        <w:pStyle w:val="Style10"/>
        <w:keepNext w:val="0"/>
        <w:keepLines w:val="0"/>
        <w:widowControl w:val="0"/>
        <w:shd w:val="clear" w:color="auto" w:fill="auto"/>
        <w:bidi w:val="0"/>
        <w:spacing w:before="0" w:after="0" w:line="240" w:lineRule="auto"/>
        <w:ind w:left="0" w:right="0" w:firstLine="0"/>
        <w:jc w:val="both"/>
      </w:pPr>
      <w:r>
        <w:rPr>
          <w:rStyle w:val="CharStyle11"/>
          <w:i/>
          <w:iCs/>
        </w:rPr>
        <w:t xml:space="preserve">самостоятельным продуктом и закупается отдельно. Имеет собственную лицензию с переходом права. Внесён в единый реестр российских программ </w:t>
      </w:r>
      <w:r>
        <w:rPr>
          <w:rStyle w:val="CharStyle11"/>
          <w:i/>
          <w:iCs/>
          <w:lang w:val="en-US" w:eastAsia="en-US"/>
        </w:rPr>
        <w:t xml:space="preserve">Минкомсвязи… </w:t>
      </w:r>
      <w:r>
        <w:rPr>
          <w:rStyle w:val="CharStyle11"/>
          <w:i/>
          <w:iCs/>
        </w:rPr>
        <w:t xml:space="preserve">Однако в нарушение ч.3 ст.14 Закона о контрактной системе в извещении не установлен запрет в соответствии с Постановлением </w:t>
      </w:r>
      <w:r>
        <w:rPr>
          <w:rStyle w:val="CharStyle11"/>
          <w:i/>
          <w:iCs/>
          <w:lang w:val="en-US" w:eastAsia="en-US"/>
        </w:rPr>
        <w:t>№1236</w:t>
      </w:r>
      <w:r>
        <w:rPr>
          <w:rStyle w:val="CharStyle11"/>
          <w:lang w:val="en-US" w:eastAsia="en-US"/>
        </w:rPr>
        <w:t>»;</w:t>
      </w:r>
    </w:p>
    <w:p>
      <w:pPr>
        <w:pStyle w:val="Style20"/>
        <w:keepNext/>
        <w:keepLines/>
        <w:widowControl w:val="0"/>
        <w:numPr>
          <w:ilvl w:val="0"/>
          <w:numId w:val="1"/>
        </w:numPr>
        <w:shd w:val="clear" w:color="auto" w:fill="auto"/>
        <w:tabs>
          <w:tab w:pos="1128" w:val="left"/>
        </w:tabs>
        <w:bidi w:val="0"/>
        <w:spacing w:before="0" w:after="0" w:line="240" w:lineRule="auto"/>
        <w:ind w:left="0" w:right="0"/>
        <w:jc w:val="both"/>
      </w:pPr>
      <w:bookmarkStart w:id="19" w:name="bookmark19"/>
      <w:r>
        <w:rPr>
          <w:rStyle w:val="CharStyle21"/>
        </w:rPr>
        <w:t>«</w:t>
      </w:r>
      <w:r>
        <w:rPr>
          <w:rStyle w:val="CharStyle21"/>
          <w:i/>
          <w:iCs/>
        </w:rPr>
        <w:t>Характеристики, указанные в ТЗ</w:t>
      </w:r>
      <w:r>
        <w:rPr>
          <w:rStyle w:val="CharStyle21"/>
        </w:rPr>
        <w:t xml:space="preserve"> (Техническое задание, </w:t>
      </w:r>
      <w:r>
        <w:rPr>
          <w:rStyle w:val="CharStyle21"/>
          <w:lang w:val="en-US" w:eastAsia="en-US"/>
        </w:rPr>
        <w:t xml:space="preserve">- </w:t>
      </w:r>
      <w:r>
        <w:rPr>
          <w:rStyle w:val="CharStyle21"/>
        </w:rPr>
        <w:t xml:space="preserve">прим.) </w:t>
      </w:r>
      <w:r>
        <w:rPr>
          <w:rStyle w:val="CharStyle21"/>
          <w:i/>
          <w:iCs/>
        </w:rPr>
        <w:t>в полном объеме, по совокупности характеристик не подходят под описание какого-либо оборудования, поставляемого в РФ и имеющего РУ</w:t>
      </w:r>
      <w:r>
        <w:rPr>
          <w:rStyle w:val="CharStyle21"/>
        </w:rPr>
        <w:t xml:space="preserve"> (Регистрационное удостоверение, </w:t>
      </w:r>
      <w:r>
        <w:rPr>
          <w:rStyle w:val="CharStyle21"/>
          <w:lang w:val="en-US" w:eastAsia="en-US"/>
        </w:rPr>
        <w:t xml:space="preserve">- </w:t>
      </w:r>
      <w:r>
        <w:rPr>
          <w:rStyle w:val="CharStyle21"/>
        </w:rPr>
        <w:t xml:space="preserve">прим.). </w:t>
      </w:r>
      <w:r>
        <w:rPr>
          <w:rStyle w:val="CharStyle21"/>
          <w:i/>
          <w:iCs/>
        </w:rPr>
        <w:t>Возможно, присутствуют только у одного производителя, но данная информация не подтверждена</w:t>
      </w:r>
      <w:r>
        <w:rPr>
          <w:rStyle w:val="CharStyle21"/>
        </w:rPr>
        <w:t>»</w:t>
      </w:r>
      <w:r>
        <w:rPr>
          <w:rStyle w:val="CharStyle21"/>
          <w:i/>
          <w:iCs/>
        </w:rPr>
        <w:t>;</w:t>
      </w:r>
      <w:bookmarkEnd w:id="19"/>
    </w:p>
    <w:p>
      <w:pPr>
        <w:pStyle w:val="Style20"/>
        <w:keepNext/>
        <w:keepLines/>
        <w:widowControl w:val="0"/>
        <w:numPr>
          <w:ilvl w:val="0"/>
          <w:numId w:val="1"/>
        </w:numPr>
        <w:shd w:val="clear" w:color="auto" w:fill="auto"/>
        <w:tabs>
          <w:tab w:pos="1249" w:val="left"/>
        </w:tabs>
        <w:bidi w:val="0"/>
        <w:spacing w:before="0" w:after="0" w:line="240" w:lineRule="auto"/>
        <w:ind w:left="0" w:right="0"/>
        <w:jc w:val="both"/>
      </w:pPr>
      <w:bookmarkStart w:id="21" w:name="bookmark21"/>
      <w:r>
        <w:rPr>
          <w:rStyle w:val="CharStyle21"/>
        </w:rPr>
        <w:t>«</w:t>
      </w:r>
      <w:r>
        <w:rPr>
          <w:rStyle w:val="CharStyle21"/>
          <w:i/>
          <w:iCs/>
        </w:rPr>
        <w:t>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r>
        <w:rPr>
          <w:rStyle w:val="CharStyle21"/>
        </w:rPr>
        <w:t>»;</w:t>
      </w:r>
      <w:bookmarkEnd w:id="21"/>
    </w:p>
    <w:p>
      <w:pPr>
        <w:pStyle w:val="Style10"/>
        <w:keepNext w:val="0"/>
        <w:keepLines w:val="0"/>
        <w:widowControl w:val="0"/>
        <w:numPr>
          <w:ilvl w:val="0"/>
          <w:numId w:val="1"/>
        </w:numPr>
        <w:shd w:val="clear" w:color="auto" w:fill="auto"/>
        <w:tabs>
          <w:tab w:pos="1225" w:val="left"/>
        </w:tabs>
        <w:bidi w:val="0"/>
        <w:spacing w:before="0" w:after="0" w:line="360" w:lineRule="auto"/>
        <w:ind w:left="0" w:right="0" w:firstLine="760"/>
        <w:jc w:val="both"/>
        <w:rPr>
          <w:sz w:val="24"/>
          <w:szCs w:val="24"/>
        </w:rPr>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1666" w:right="748" w:bottom="696" w:left="1078" w:header="0" w:footer="268" w:gutter="0"/>
          <w:cols w:space="720"/>
          <w:noEndnote/>
          <w:rtlGutter w:val="0"/>
          <w:docGrid w:linePitch="360"/>
        </w:sectPr>
      </w:pPr>
      <w:r>
        <w:rPr>
          <w:rStyle w:val="CharStyle11"/>
        </w:rPr>
        <w:t>«</w:t>
      </w:r>
      <w:r>
        <w:rPr>
          <w:rStyle w:val="CharStyle11"/>
          <w:i/>
          <w:iCs/>
        </w:rPr>
        <w:t xml:space="preserve">Ввиду того, что в документации и в файле описание объекта закупки </w:t>
      </w:r>
      <w:r>
        <w:rPr>
          <w:rStyle w:val="CharStyle11"/>
          <w:sz w:val="24"/>
          <w:szCs w:val="24"/>
          <w:lang w:val="en-US" w:eastAsia="en-US"/>
        </w:rPr>
        <w:t>2026-1152</w:t>
      </w:r>
    </w:p>
    <w:p>
      <w:pPr>
        <w:pStyle w:val="Style10"/>
        <w:keepNext w:val="0"/>
        <w:keepLines w:val="0"/>
        <w:widowControl w:val="0"/>
        <w:shd w:val="clear" w:color="auto" w:fill="auto"/>
        <w:bidi w:val="0"/>
        <w:spacing w:before="0" w:after="0" w:line="240" w:lineRule="auto"/>
        <w:ind w:left="0" w:right="0" w:firstLine="0"/>
        <w:jc w:val="both"/>
      </w:pPr>
      <w:r>
        <w:rPr>
          <w:rStyle w:val="CharStyle11"/>
          <w:i/>
          <w:iCs/>
        </w:rPr>
        <w:t>представлена информация, противоречащая законодательству, считаем, что ограничена конкуренция»</w:t>
      </w:r>
      <w:r>
        <w:rPr>
          <w:rStyle w:val="CharStyle11"/>
        </w:rPr>
        <w:t>;</w:t>
      </w:r>
    </w:p>
    <w:p>
      <w:pPr>
        <w:pStyle w:val="Style20"/>
        <w:keepNext/>
        <w:keepLines/>
        <w:widowControl w:val="0"/>
        <w:numPr>
          <w:ilvl w:val="0"/>
          <w:numId w:val="1"/>
        </w:numPr>
        <w:shd w:val="clear" w:color="auto" w:fill="auto"/>
        <w:tabs>
          <w:tab w:pos="1206" w:val="left"/>
        </w:tabs>
        <w:bidi w:val="0"/>
        <w:spacing w:before="0" w:after="0" w:line="240" w:lineRule="auto"/>
        <w:ind w:left="0" w:right="0"/>
        <w:jc w:val="both"/>
      </w:pPr>
      <w:bookmarkStart w:id="24" w:name="bookmark24"/>
      <w:r>
        <w:rPr>
          <w:rStyle w:val="CharStyle21"/>
          <w:i/>
          <w:iCs/>
        </w:rPr>
        <w:t>«В извещении в ЕИС, проект контракта в ЕИС и размещенный контракт по результатам выбора поставщика для подписания, имеет ряд нарушений и отклонений от действующего законодательства, в том числе незаполненные данные»; «В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 «А 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r>
        <w:rPr>
          <w:rStyle w:val="CharStyle21"/>
        </w:rPr>
        <w:t>;</w:t>
      </w:r>
      <w:bookmarkEnd w:id="24"/>
    </w:p>
    <w:p>
      <w:pPr>
        <w:pStyle w:val="Style20"/>
        <w:keepNext/>
        <w:keepLines/>
        <w:widowControl w:val="0"/>
        <w:numPr>
          <w:ilvl w:val="0"/>
          <w:numId w:val="1"/>
        </w:numPr>
        <w:shd w:val="clear" w:color="auto" w:fill="auto"/>
        <w:tabs>
          <w:tab w:pos="1206" w:val="left"/>
        </w:tabs>
        <w:bidi w:val="0"/>
        <w:spacing w:before="0" w:after="0" w:line="240" w:lineRule="auto"/>
        <w:ind w:left="0" w:right="0"/>
        <w:jc w:val="both"/>
      </w:pPr>
      <w:bookmarkStart w:id="26" w:name="bookmark26"/>
      <w:r>
        <w:rPr>
          <w:rStyle w:val="CharStyle21"/>
        </w:rPr>
        <w:t>«</w:t>
      </w:r>
      <w:r>
        <w:rPr>
          <w:rStyle w:val="CharStyle21"/>
          <w:i/>
          <w:iCs/>
        </w:rPr>
        <w:t>По результатам торгов подана одна заявка, что подтверждает риторику об ограничении конкуренции. Вместе с этим, Заказчиком предоставляется сведения заблаговременно. Учитывая представленное, просим привлечь к ответственности:</w:t>
      </w:r>
      <w:r>
        <w:rPr>
          <w:rStyle w:val="CharStyle21"/>
        </w:rPr>
        <w:t xml:space="preserve"> (за несвоевременное направление в контрольный орган возражения на жалобу, </w:t>
      </w:r>
      <w:r>
        <w:rPr>
          <w:rStyle w:val="CharStyle21"/>
          <w:lang w:val="en-US" w:eastAsia="en-US"/>
        </w:rPr>
        <w:t xml:space="preserve">– </w:t>
      </w:r>
      <w:r>
        <w:rPr>
          <w:rStyle w:val="CharStyle21"/>
        </w:rPr>
        <w:t>прим.)»;</w:t>
      </w:r>
      <w:bookmarkEnd w:id="26"/>
    </w:p>
    <w:p>
      <w:pPr>
        <w:pStyle w:val="Style20"/>
        <w:keepNext/>
        <w:keepLines/>
        <w:widowControl w:val="0"/>
        <w:numPr>
          <w:ilvl w:val="0"/>
          <w:numId w:val="1"/>
        </w:numPr>
        <w:shd w:val="clear" w:color="auto" w:fill="auto"/>
        <w:tabs>
          <w:tab w:pos="1196" w:val="left"/>
        </w:tabs>
        <w:bidi w:val="0"/>
        <w:spacing w:before="0" w:after="0" w:line="240" w:lineRule="auto"/>
        <w:ind w:left="0" w:right="0"/>
        <w:jc w:val="both"/>
      </w:pPr>
      <w:bookmarkStart w:id="28" w:name="bookmark28"/>
      <w:r>
        <w:rPr>
          <w:rStyle w:val="CharStyle21"/>
        </w:rPr>
        <w:t>«</w:t>
      </w:r>
      <w:r>
        <w:rPr>
          <w:rStyle w:val="CharStyle21"/>
          <w:i/>
          <w:iCs/>
        </w:rPr>
        <w:t>Учитывая, что ограничена конкуренция, просим выделить в отдельное производство по 135-ФЗ и отразить в решении по результатам внеплановой проверки</w:t>
      </w:r>
      <w:r>
        <w:rPr>
          <w:rStyle w:val="CharStyle21"/>
        </w:rPr>
        <w:t>».</w:t>
      </w:r>
      <w:bookmarkEnd w:id="28"/>
    </w:p>
    <w:p>
      <w:pPr>
        <w:pStyle w:val="Style20"/>
        <w:keepNext/>
        <w:keepLines/>
        <w:widowControl w:val="0"/>
        <w:shd w:val="clear" w:color="auto" w:fill="auto"/>
        <w:bidi w:val="0"/>
        <w:spacing w:before="0" w:after="0" w:line="240" w:lineRule="auto"/>
        <w:ind w:left="0" w:right="0"/>
        <w:jc w:val="both"/>
      </w:pPr>
      <w:bookmarkStart w:id="30" w:name="bookmark30"/>
      <w:r>
        <w:rPr>
          <w:rStyle w:val="CharStyle21"/>
        </w:rPr>
        <w:t xml:space="preserve">На основании изложенного Заявитель просит Комиссию УФАС: приостановить осуществление закупки; провести проверку правомерности действий Заказчика; признать жалобу обоснованной; выдать предписание об устранении нарушений при проведении закупки; направить материалы дела в органы финансового контроля для проверки обоснования НМЦК и выполнения постановления </w:t>
      </w:r>
      <w:r>
        <w:rPr>
          <w:rStyle w:val="CharStyle21"/>
          <w:lang w:val="en-US" w:eastAsia="en-US"/>
        </w:rPr>
        <w:t xml:space="preserve">№2014; </w:t>
      </w:r>
      <w:r>
        <w:rPr>
          <w:rStyle w:val="CharStyle21"/>
        </w:rPr>
        <w:t xml:space="preserve">истребовать у Заказчика оригиналы документов с необходимой для Заявителя информацией для рассмотрения доводов жалобы; считать все высказанные на заседании дополнительные доводы по вновь открывшимся обстоятельствам, доводами данной жалобы и считать дополнением к данной жалобе; отразить в результатах внеплановой проверки выявленные в процессе выяснения новых обстоятельств нарушения, как рассмотренные; выделить в отдельное производство по 135-ФЗ, назначить рассмотрение с участием Заявителя; назначить проведение рассмотрения жалобы посредством ВКС в будний день не ранее </w:t>
      </w:r>
      <w:r>
        <w:rPr>
          <w:rStyle w:val="CharStyle21"/>
          <w:lang w:val="en-US" w:eastAsia="en-US"/>
        </w:rPr>
        <w:t xml:space="preserve">14:00 </w:t>
      </w:r>
      <w:r>
        <w:rPr>
          <w:rStyle w:val="CharStyle21"/>
        </w:rPr>
        <w:t xml:space="preserve">и не позднее </w:t>
      </w:r>
      <w:r>
        <w:rPr>
          <w:rStyle w:val="CharStyle21"/>
          <w:lang w:val="en-US" w:eastAsia="en-US"/>
        </w:rPr>
        <w:t xml:space="preserve">15:00 </w:t>
      </w:r>
      <w:r>
        <w:rPr>
          <w:rStyle w:val="CharStyle21"/>
        </w:rPr>
        <w:t xml:space="preserve">по Московскому времени или за </w:t>
      </w:r>
      <w:r>
        <w:rPr>
          <w:rStyle w:val="CharStyle21"/>
          <w:lang w:val="en-US" w:eastAsia="en-US"/>
        </w:rPr>
        <w:t xml:space="preserve">1 </w:t>
      </w:r>
      <w:r>
        <w:rPr>
          <w:rStyle w:val="CharStyle21"/>
        </w:rPr>
        <w:t xml:space="preserve">час до окончания рабочего дня Управления ФАС; Заказчику связаться с заявителем не позднее рабочего дня с момента поступления жалобы в ЕИС по телефону </w:t>
      </w:r>
      <w:r>
        <w:rPr>
          <w:rStyle w:val="CharStyle21"/>
          <w:lang w:val="en-US" w:eastAsia="en-US"/>
        </w:rPr>
        <w:t xml:space="preserve">8-953-…..-48 </w:t>
      </w:r>
      <w:r>
        <w:rPr>
          <w:rStyle w:val="CharStyle21"/>
        </w:rPr>
        <w:t>для всестороннего рассмотрения жалобы по существу и предоставления соответствующих материалов по делу.</w:t>
      </w:r>
      <w:bookmarkEnd w:id="30"/>
    </w:p>
    <w:p>
      <w:pPr>
        <w:pStyle w:val="Style20"/>
        <w:keepNext/>
        <w:keepLines/>
        <w:widowControl w:val="0"/>
        <w:shd w:val="clear" w:color="auto" w:fill="auto"/>
        <w:bidi w:val="0"/>
        <w:spacing w:before="0" w:after="0" w:line="240" w:lineRule="auto"/>
        <w:ind w:left="0" w:right="0"/>
        <w:jc w:val="both"/>
      </w:pPr>
      <w:bookmarkStart w:id="32" w:name="bookmark32"/>
      <w:r>
        <w:rPr>
          <w:rStyle w:val="CharStyle21"/>
        </w:rPr>
        <w:t>Кроме вышеизложенного, в своей жалобе Заявитель просит:</w:t>
      </w:r>
      <w:bookmarkEnd w:id="32"/>
    </w:p>
    <w:p>
      <w:pPr>
        <w:pStyle w:val="Style10"/>
        <w:keepNext w:val="0"/>
        <w:keepLines w:val="0"/>
        <w:widowControl w:val="0"/>
        <w:numPr>
          <w:ilvl w:val="0"/>
          <w:numId w:val="3"/>
        </w:numPr>
        <w:shd w:val="clear" w:color="auto" w:fill="auto"/>
        <w:tabs>
          <w:tab w:pos="1108" w:val="left"/>
        </w:tabs>
        <w:bidi w:val="0"/>
        <w:spacing w:before="0" w:after="0" w:line="240" w:lineRule="auto"/>
        <w:ind w:left="0" w:right="0" w:firstLine="760"/>
        <w:jc w:val="both"/>
      </w:pPr>
      <w:r>
        <w:rPr>
          <w:rStyle w:val="CharStyle11"/>
        </w:rPr>
        <w:t>«</w:t>
      </w:r>
      <w:r>
        <w:rPr>
          <w:rStyle w:val="CharStyle11"/>
          <w:i/>
          <w:iCs/>
        </w:rPr>
        <w:t xml:space="preserve">запросить у Заказчика, почему в </w:t>
      </w:r>
      <w:r>
        <w:rPr>
          <w:rStyle w:val="CharStyle11"/>
          <w:b/>
          <w:bCs/>
          <w:i/>
          <w:iCs/>
        </w:rPr>
        <w:t>Техническом задании указаны характеристики УЗИ-сканера ниже (хуже), чем у оборудования, размещённого в Реестре Радиоэлектронной продукции Российского производства</w:t>
      </w:r>
      <w:r>
        <w:rPr>
          <w:rStyle w:val="CharStyle11"/>
          <w:i/>
          <w:iCs/>
        </w:rPr>
        <w:t>, что приводит к нерациональному расходованию средств. А также неисполнению</w:t>
      </w:r>
    </w:p>
    <w:p>
      <w:pPr>
        <w:pStyle w:val="Style10"/>
        <w:keepNext w:val="0"/>
        <w:keepLines w:val="0"/>
        <w:widowControl w:val="0"/>
        <w:shd w:val="clear" w:color="auto" w:fill="auto"/>
        <w:bidi w:val="0"/>
        <w:spacing w:before="0" w:after="0" w:line="240" w:lineRule="auto"/>
        <w:ind w:left="0" w:right="0" w:firstLine="0"/>
        <w:jc w:val="both"/>
      </w:pPr>
      <w:r>
        <w:rPr>
          <w:rStyle w:val="CharStyle11"/>
          <w:i/>
          <w:iCs/>
        </w:rPr>
        <w:t xml:space="preserve">Постановления Правительства РФ от </w:t>
      </w:r>
      <w:r>
        <w:rPr>
          <w:rStyle w:val="CharStyle11"/>
          <w:i/>
          <w:iCs/>
          <w:lang w:val="en-US" w:eastAsia="en-US"/>
        </w:rPr>
        <w:t xml:space="preserve">3 </w:t>
      </w:r>
      <w:r>
        <w:rPr>
          <w:rStyle w:val="CharStyle11"/>
          <w:i/>
          <w:iCs/>
        </w:rPr>
        <w:t xml:space="preserve">декабря </w:t>
      </w:r>
      <w:r>
        <w:rPr>
          <w:rStyle w:val="CharStyle11"/>
          <w:i/>
          <w:iCs/>
          <w:lang w:val="en-US" w:eastAsia="en-US"/>
        </w:rPr>
        <w:t xml:space="preserve">2020 </w:t>
      </w:r>
      <w:r>
        <w:rPr>
          <w:rStyle w:val="CharStyle11"/>
          <w:i/>
          <w:iCs/>
        </w:rPr>
        <w:t xml:space="preserve">г. </w:t>
      </w:r>
      <w:r>
        <w:rPr>
          <w:rStyle w:val="CharStyle11"/>
          <w:i/>
          <w:iCs/>
          <w:lang w:val="en-US" w:eastAsia="en-US"/>
        </w:rPr>
        <w:t xml:space="preserve">№2014 </w:t>
      </w:r>
      <w:r>
        <w:rPr>
          <w:rStyle w:val="CharStyle11"/>
          <w:i/>
          <w:iCs/>
        </w:rPr>
        <w:t xml:space="preserve">«О минимальной обязательной доле закупок российских товаров и ее достижении заказчиком», а именно закупки Аппаратов ультразвукового исследования Российского производства не менее </w:t>
      </w:r>
      <w:r>
        <w:rPr>
          <w:rStyle w:val="CharStyle11"/>
          <w:i/>
          <w:iCs/>
          <w:lang w:val="en-US" w:eastAsia="en-US"/>
        </w:rPr>
        <w:t xml:space="preserve">80%. </w:t>
      </w:r>
      <w:r>
        <w:rPr>
          <w:rStyle w:val="CharStyle11"/>
          <w:b/>
          <w:bCs/>
          <w:i/>
          <w:iCs/>
        </w:rPr>
        <w:t xml:space="preserve">Было ли выполнено данное постановление Заказчиком в </w:t>
      </w:r>
      <w:r>
        <w:rPr>
          <w:rStyle w:val="CharStyle11"/>
          <w:b/>
          <w:bCs/>
          <w:i/>
          <w:iCs/>
          <w:lang w:val="en-US" w:eastAsia="en-US"/>
        </w:rPr>
        <w:t xml:space="preserve">2021, 2022 </w:t>
      </w:r>
      <w:r>
        <w:rPr>
          <w:rStyle w:val="CharStyle11"/>
          <w:b/>
          <w:bCs/>
          <w:i/>
          <w:iCs/>
        </w:rPr>
        <w:t xml:space="preserve">и </w:t>
      </w:r>
      <w:r>
        <w:rPr>
          <w:rStyle w:val="CharStyle11"/>
          <w:b/>
          <w:bCs/>
          <w:i/>
          <w:iCs/>
          <w:lang w:val="en-US" w:eastAsia="en-US"/>
        </w:rPr>
        <w:t xml:space="preserve">2023 </w:t>
      </w:r>
      <w:r>
        <w:rPr>
          <w:rStyle w:val="CharStyle11"/>
          <w:b/>
          <w:bCs/>
          <w:i/>
          <w:iCs/>
        </w:rPr>
        <w:t xml:space="preserve">году по всему закупленному медицинскому оборудованию? Размещены ли эти данные в ЕИС? Просим УФАС запросить или передать по подведомственности, так как в случае неисполнения, данное нарушение квалифицируется как ч. </w:t>
      </w:r>
      <w:r>
        <w:rPr>
          <w:rStyle w:val="CharStyle11"/>
          <w:b/>
          <w:bCs/>
          <w:i/>
          <w:iCs/>
          <w:lang w:val="en-US" w:eastAsia="en-US"/>
        </w:rPr>
        <w:t xml:space="preserve">1.4 </w:t>
      </w:r>
      <w:r>
        <w:rPr>
          <w:rStyle w:val="CharStyle11"/>
          <w:b/>
          <w:bCs/>
          <w:i/>
          <w:iCs/>
        </w:rPr>
        <w:t xml:space="preserve">ст. </w:t>
      </w:r>
      <w:r>
        <w:rPr>
          <w:rStyle w:val="CharStyle11"/>
          <w:b/>
          <w:bCs/>
          <w:i/>
          <w:iCs/>
          <w:lang w:val="en-US" w:eastAsia="en-US"/>
        </w:rPr>
        <w:t xml:space="preserve">7.30 </w:t>
      </w:r>
      <w:r>
        <w:rPr>
          <w:rStyle w:val="CharStyle11"/>
          <w:b/>
          <w:bCs/>
          <w:i/>
          <w:iCs/>
        </w:rPr>
        <w:t xml:space="preserve">КоАП РФ, за которое установлена административная ответственность в размере </w:t>
      </w:r>
      <w:r>
        <w:rPr>
          <w:rStyle w:val="CharStyle11"/>
          <w:b/>
          <w:bCs/>
          <w:i/>
          <w:iCs/>
          <w:lang w:val="en-US" w:eastAsia="en-US"/>
        </w:rPr>
        <w:t xml:space="preserve">15 000 </w:t>
      </w:r>
      <w:r>
        <w:rPr>
          <w:rStyle w:val="CharStyle11"/>
          <w:b/>
          <w:bCs/>
          <w:i/>
          <w:iCs/>
        </w:rPr>
        <w:t xml:space="preserve">рублей на должностное лицо заказчика; на юридических лиц </w:t>
      </w:r>
      <w:r>
        <w:rPr>
          <w:rStyle w:val="CharStyle11"/>
          <w:b/>
          <w:bCs/>
          <w:i/>
          <w:iCs/>
          <w:lang w:val="en-US" w:eastAsia="en-US"/>
        </w:rPr>
        <w:t xml:space="preserve">-–50 000 </w:t>
      </w:r>
      <w:r>
        <w:rPr>
          <w:rStyle w:val="CharStyle11"/>
          <w:b/>
          <w:bCs/>
          <w:i/>
          <w:iCs/>
        </w:rPr>
        <w:t>рублей</w:t>
      </w:r>
      <w:r>
        <w:rPr>
          <w:rStyle w:val="CharStyle11"/>
          <w:b/>
          <w:bCs/>
        </w:rPr>
        <w:t>»;</w:t>
      </w:r>
    </w:p>
    <w:p>
      <w:pPr>
        <w:pStyle w:val="Style20"/>
        <w:keepNext/>
        <w:keepLines/>
        <w:widowControl w:val="0"/>
        <w:numPr>
          <w:ilvl w:val="0"/>
          <w:numId w:val="3"/>
        </w:numPr>
        <w:shd w:val="clear" w:color="auto" w:fill="auto"/>
        <w:tabs>
          <w:tab w:pos="1046" w:val="left"/>
        </w:tabs>
        <w:bidi w:val="0"/>
        <w:spacing w:before="0" w:after="0" w:line="240" w:lineRule="auto"/>
        <w:ind w:left="0" w:right="0"/>
        <w:jc w:val="both"/>
      </w:pPr>
      <w:bookmarkStart w:id="35" w:name="bookmark35"/>
      <w:r>
        <w:rPr>
          <w:rStyle w:val="CharStyle21"/>
        </w:rPr>
        <w:t>«</w:t>
      </w:r>
      <w:r>
        <w:rPr>
          <w:rStyle w:val="CharStyle21"/>
          <w:i/>
          <w:iCs/>
        </w:rPr>
        <w:t xml:space="preserve">Просим предоставить до рассмотрения дела по существу оригиналы запросов Российским производителям </w:t>
      </w:r>
      <w:r>
        <w:rPr>
          <w:rStyle w:val="CharStyle21"/>
          <w:b/>
          <w:bCs/>
          <w:i/>
          <w:iCs/>
        </w:rPr>
        <w:t xml:space="preserve">(минимум ДВУМ находящимся в Реестре Радио-Электронной продукции) </w:t>
      </w:r>
      <w:r>
        <w:rPr>
          <w:rStyle w:val="CharStyle21"/>
          <w:i/>
          <w:iCs/>
        </w:rPr>
        <w:t>и оригинал уведомления о вручении запроса Почты России на физическом бумажном носители. Обращаем ваше внимание, что скрины или фото, согласно действующему законодательству, не являются официальными документами и могут быть сфальсифицированы в программах редакторах на ЭВМ, а также не получены получателями из-за отсутствия подключения в сети интернет, так как это не является обязанностью действующего субъекта</w:t>
      </w:r>
      <w:r>
        <w:rPr>
          <w:rStyle w:val="CharStyle21"/>
        </w:rPr>
        <w:t>»;</w:t>
      </w:r>
      <w:bookmarkEnd w:id="35"/>
    </w:p>
    <w:p>
      <w:pPr>
        <w:pStyle w:val="Style20"/>
        <w:keepNext/>
        <w:keepLines/>
        <w:widowControl w:val="0"/>
        <w:numPr>
          <w:ilvl w:val="0"/>
          <w:numId w:val="3"/>
        </w:numPr>
        <w:shd w:val="clear" w:color="auto" w:fill="auto"/>
        <w:tabs>
          <w:tab w:pos="1046" w:val="left"/>
        </w:tabs>
        <w:bidi w:val="0"/>
        <w:spacing w:before="0" w:after="0" w:line="240" w:lineRule="auto"/>
        <w:ind w:left="0" w:right="0"/>
        <w:jc w:val="both"/>
      </w:pPr>
      <w:bookmarkStart w:id="37" w:name="bookmark37"/>
      <w:r>
        <w:rPr>
          <w:rStyle w:val="CharStyle21"/>
        </w:rPr>
        <w:t xml:space="preserve">«Просим предоставить оригиналы технических характеристик (оригиналы с живыми печатями или электронной подписью </w:t>
      </w:r>
      <w:r>
        <w:rPr>
          <w:rStyle w:val="CharStyle21"/>
          <w:lang w:val="en-US" w:eastAsia="en-US"/>
        </w:rPr>
        <w:t xml:space="preserve">– </w:t>
      </w:r>
      <w:r>
        <w:rPr>
          <w:rStyle w:val="CharStyle21"/>
        </w:rPr>
        <w:t xml:space="preserve">Федеральный закон от </w:t>
      </w:r>
      <w:r>
        <w:rPr>
          <w:rStyle w:val="CharStyle21"/>
          <w:lang w:val="en-US" w:eastAsia="en-US"/>
        </w:rPr>
        <w:t xml:space="preserve">06.04.2011 </w:t>
      </w:r>
      <w:r>
        <w:rPr>
          <w:rStyle w:val="CharStyle21"/>
        </w:rPr>
        <w:t xml:space="preserve">№63-ФЗ) именно от </w:t>
      </w:r>
      <w:r>
        <w:rPr>
          <w:rStyle w:val="CharStyle21"/>
          <w:b/>
          <w:bCs/>
        </w:rPr>
        <w:t>производителей</w:t>
      </w:r>
      <w:r>
        <w:rPr>
          <w:rStyle w:val="CharStyle21"/>
        </w:rPr>
        <w:t>, а не дилеров, указанных в Сводной таблице и саму сводную таблицу. Оригиналы Коммерческих Предложений с живыми печатями. Обращаем ваше внимание, что скрины или фото, согласно действующему законодательству, не являются официальными документами и могут быть сфальсифицированы»;</w:t>
      </w:r>
      <w:bookmarkEnd w:id="37"/>
    </w:p>
    <w:p>
      <w:pPr>
        <w:pStyle w:val="Style20"/>
        <w:keepNext/>
        <w:keepLines/>
        <w:widowControl w:val="0"/>
        <w:numPr>
          <w:ilvl w:val="0"/>
          <w:numId w:val="3"/>
        </w:numPr>
        <w:shd w:val="clear" w:color="auto" w:fill="auto"/>
        <w:tabs>
          <w:tab w:pos="1046" w:val="left"/>
        </w:tabs>
        <w:bidi w:val="0"/>
        <w:spacing w:before="0" w:after="0" w:line="240" w:lineRule="auto"/>
        <w:ind w:left="0" w:right="0"/>
        <w:jc w:val="both"/>
      </w:pPr>
      <w:bookmarkStart w:id="39" w:name="bookmark39"/>
      <w:r>
        <w:rPr>
          <w:rStyle w:val="CharStyle21"/>
        </w:rPr>
        <w:t>«</w:t>
      </w:r>
      <w:r>
        <w:rPr>
          <w:rStyle w:val="CharStyle21"/>
          <w:i/>
          <w:iCs/>
        </w:rPr>
        <w:t>Просим сообщить Заказчика в Возражении на данную жалобу какие модели и производители УЗИ-сканеров представлены в сравнительной таблице?</w:t>
      </w:r>
      <w:r>
        <w:rPr>
          <w:rStyle w:val="CharStyle21"/>
        </w:rPr>
        <w:t>»;</w:t>
      </w:r>
      <w:bookmarkEnd w:id="39"/>
    </w:p>
    <w:p>
      <w:pPr>
        <w:pStyle w:val="Style20"/>
        <w:keepNext/>
        <w:keepLines/>
        <w:widowControl w:val="0"/>
        <w:numPr>
          <w:ilvl w:val="0"/>
          <w:numId w:val="3"/>
        </w:numPr>
        <w:shd w:val="clear" w:color="auto" w:fill="auto"/>
        <w:tabs>
          <w:tab w:pos="1046" w:val="left"/>
        </w:tabs>
        <w:bidi w:val="0"/>
        <w:spacing w:before="0" w:after="0" w:line="240" w:lineRule="auto"/>
        <w:ind w:left="0" w:right="0"/>
        <w:jc w:val="both"/>
      </w:pPr>
      <w:bookmarkStart w:id="41" w:name="bookmark41"/>
      <w:r>
        <w:rPr>
          <w:rStyle w:val="CharStyle21"/>
        </w:rPr>
        <w:t>«</w:t>
      </w:r>
      <w:r>
        <w:rPr>
          <w:rStyle w:val="CharStyle21"/>
          <w:i/>
          <w:iCs/>
        </w:rPr>
        <w:t xml:space="preserve">Для полного и всеобъемлющего анализа закупки просим </w:t>
      </w:r>
      <w:r>
        <w:rPr>
          <w:rStyle w:val="CharStyle21"/>
          <w:b/>
          <w:bCs/>
          <w:i/>
          <w:iCs/>
        </w:rPr>
        <w:t>направить запрос в контрольный финансовый орган (Министерство Финансов области) для проведения проверки обоснования НМЦК</w:t>
      </w:r>
      <w:r>
        <w:rPr>
          <w:rStyle w:val="CharStyle21"/>
          <w:i/>
          <w:iCs/>
        </w:rPr>
        <w:t>. В связи с этим просим увеличить сроки рассмотрения жалобы и назначить её рассмотрение только после отсвета о правомерности обоснования НМЦК</w:t>
      </w:r>
      <w:r>
        <w:rPr>
          <w:rStyle w:val="CharStyle21"/>
        </w:rPr>
        <w:t>».</w:t>
      </w:r>
      <w:bookmarkEnd w:id="41"/>
    </w:p>
    <w:p>
      <w:pPr>
        <w:pStyle w:val="Style20"/>
        <w:keepNext/>
        <w:keepLines/>
        <w:widowControl w:val="0"/>
        <w:shd w:val="clear" w:color="auto" w:fill="auto"/>
        <w:bidi w:val="0"/>
        <w:spacing w:before="0" w:after="0" w:line="240" w:lineRule="auto"/>
        <w:ind w:left="0" w:right="0"/>
        <w:jc w:val="both"/>
      </w:pPr>
      <w:bookmarkStart w:id="43" w:name="bookmark43"/>
      <w:r>
        <w:rPr>
          <w:rStyle w:val="CharStyle21"/>
        </w:rPr>
        <w:t xml:space="preserve">Адыгейским УФАС России в адрес Заявителя, Заказчика и Уполномоченного органа было направлено Уведомление о принятии жалобы к рассмотрению (далее </w:t>
      </w:r>
      <w:r>
        <w:rPr>
          <w:rStyle w:val="CharStyle21"/>
          <w:lang w:val="en-US" w:eastAsia="en-US"/>
        </w:rPr>
        <w:t xml:space="preserve">– </w:t>
      </w:r>
      <w:r>
        <w:rPr>
          <w:rStyle w:val="CharStyle21"/>
        </w:rPr>
        <w:t xml:space="preserve">Уведомление) с указанием информации о месте и времени ее рассмотрения. Кроме того, Уведомление было размещено на официальном сайте единой информационной системы в сфере закупок (далее </w:t>
      </w:r>
      <w:r>
        <w:rPr>
          <w:rStyle w:val="CharStyle21"/>
          <w:lang w:val="en-US" w:eastAsia="en-US"/>
        </w:rPr>
        <w:t xml:space="preserve">– </w:t>
      </w:r>
      <w:r>
        <w:rPr>
          <w:rStyle w:val="CharStyle21"/>
        </w:rPr>
        <w:t>ЕИС), что считается надлежащим уведомлением о времени и месте проведения заседания Комиссии УФАС.</w:t>
      </w:r>
      <w:bookmarkEnd w:id="43"/>
    </w:p>
    <w:p>
      <w:pPr>
        <w:pStyle w:val="Style20"/>
        <w:keepNext/>
        <w:keepLines/>
        <w:widowControl w:val="0"/>
        <w:shd w:val="clear" w:color="auto" w:fill="auto"/>
        <w:bidi w:val="0"/>
        <w:spacing w:before="0" w:after="0" w:line="240" w:lineRule="auto"/>
        <w:ind w:left="0" w:right="0"/>
        <w:jc w:val="both"/>
      </w:pPr>
      <w:bookmarkStart w:id="45" w:name="bookmark45"/>
      <w:r>
        <w:rPr>
          <w:rStyle w:val="CharStyle21"/>
        </w:rPr>
        <w:t>Также Уведомление содержало информацию о возможности участия в заседании Комиссии Адыгейского УФАС России посредством ВКС, с указанием ссылки на запланированную видеоконференцию.</w:t>
      </w:r>
      <w:bookmarkEnd w:id="45"/>
    </w:p>
    <w:p>
      <w:pPr>
        <w:pStyle w:val="Style20"/>
        <w:keepNext/>
        <w:keepLines/>
        <w:widowControl w:val="0"/>
        <w:shd w:val="clear" w:color="auto" w:fill="auto"/>
        <w:bidi w:val="0"/>
        <w:spacing w:before="0" w:after="0" w:line="240" w:lineRule="auto"/>
        <w:ind w:left="0" w:right="0" w:firstLine="660"/>
        <w:jc w:val="both"/>
      </w:pPr>
      <w:bookmarkStart w:id="47" w:name="bookmark47"/>
      <w:r>
        <w:rPr>
          <w:rStyle w:val="CharStyle21"/>
        </w:rPr>
        <w:t>Между тем, Заявитель в заседании Комиссии УФАС участия не принимал, явки своего представителя не обеспечил.</w:t>
      </w:r>
      <w:bookmarkEnd w:id="47"/>
    </w:p>
    <w:p>
      <w:pPr>
        <w:pStyle w:val="Style10"/>
        <w:keepNext w:val="0"/>
        <w:keepLines w:val="0"/>
        <w:widowControl w:val="0"/>
        <w:shd w:val="clear" w:color="auto" w:fill="auto"/>
        <w:bidi w:val="0"/>
        <w:spacing w:before="0" w:after="0" w:line="240" w:lineRule="auto"/>
        <w:ind w:left="0" w:right="0" w:firstLine="660"/>
        <w:jc w:val="both"/>
      </w:pPr>
      <w:r>
        <w:rPr>
          <w:rStyle w:val="CharStyle11"/>
        </w:rPr>
        <w:t>В части просьбы о переносе времени рассмотрения жалобы на удобное для Заявителя в удовлетворении было отказано в силу того, что на момент поступления жалобы Заявителя график заседаний Адыгейского УФАС России был уже сформирован, протокол заседаний утвержден.</w:t>
      </w:r>
    </w:p>
    <w:p>
      <w:pPr>
        <w:pStyle w:val="Style10"/>
        <w:keepNext w:val="0"/>
        <w:keepLines w:val="0"/>
        <w:widowControl w:val="0"/>
        <w:shd w:val="clear" w:color="auto" w:fill="auto"/>
        <w:bidi w:val="0"/>
        <w:spacing w:before="0" w:after="0" w:line="240" w:lineRule="auto"/>
        <w:ind w:left="0" w:right="0" w:firstLine="660"/>
        <w:jc w:val="both"/>
      </w:pPr>
      <w:r>
        <w:rPr>
          <w:rStyle w:val="CharStyle11"/>
        </w:rPr>
        <w:t xml:space="preserve">Заказчиком в Адыгейское УФАС России </w:t>
      </w:r>
      <w:r>
        <w:rPr>
          <w:rStyle w:val="CharStyle11"/>
          <w:lang w:val="en-US" w:eastAsia="en-US"/>
        </w:rPr>
        <w:t xml:space="preserve">20.05.2026 </w:t>
      </w:r>
      <w:r>
        <w:rPr>
          <w:rStyle w:val="CharStyle11"/>
        </w:rPr>
        <w:t xml:space="preserve">направлено Возражение на жалобу Заявителя (вх. №2149-ЭП/26 от </w:t>
      </w:r>
      <w:r>
        <w:rPr>
          <w:rStyle w:val="CharStyle11"/>
          <w:lang w:val="en-US" w:eastAsia="en-US"/>
        </w:rPr>
        <w:t xml:space="preserve">20.05.2026) </w:t>
      </w:r>
      <w:r>
        <w:rPr>
          <w:rStyle w:val="CharStyle11"/>
        </w:rPr>
        <w:t xml:space="preserve">(далее </w:t>
      </w:r>
      <w:r>
        <w:rPr>
          <w:rStyle w:val="CharStyle11"/>
          <w:lang w:val="en-US" w:eastAsia="en-US"/>
        </w:rPr>
        <w:t xml:space="preserve">– </w:t>
      </w:r>
      <w:r>
        <w:rPr>
          <w:rStyle w:val="CharStyle11"/>
        </w:rPr>
        <w:t xml:space="preserve">Возражение на жалобу), в котором Заказчик не согласился с доводами жалобы, просил признать её необоснованной, а также представил сравнительный анализ систем ультразвуковой визуализации </w:t>
      </w:r>
      <w:r>
        <w:rPr>
          <w:rStyle w:val="CharStyle11"/>
          <w:lang w:val="en-US" w:eastAsia="en-US"/>
        </w:rPr>
        <w:t xml:space="preserve">2 </w:t>
      </w:r>
      <w:r>
        <w:rPr>
          <w:rStyle w:val="CharStyle11"/>
        </w:rPr>
        <w:t xml:space="preserve">(Двух) производителей, в том числе системы российского производства </w:t>
      </w:r>
      <w:r>
        <w:rPr>
          <w:rStyle w:val="CharStyle11"/>
          <w:lang w:val="en-US" w:eastAsia="en-US"/>
        </w:rPr>
        <w:t xml:space="preserve">«Consona N7P», </w:t>
      </w:r>
      <w:r>
        <w:rPr>
          <w:rStyle w:val="CharStyle11"/>
        </w:rPr>
        <w:t>зарегистрированной в Реестре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660"/>
        <w:jc w:val="both"/>
      </w:pPr>
      <w:r>
        <w:rPr>
          <w:rStyle w:val="CharStyle11"/>
        </w:rPr>
        <w:t>В результате рассмотрения жалобы Заявителя, возражения Заказчика и проведения внеплановой проверки Комиссия УФАС установила следующее.</w:t>
      </w:r>
    </w:p>
    <w:p>
      <w:pPr>
        <w:pStyle w:val="Style10"/>
        <w:keepNext w:val="0"/>
        <w:keepLines w:val="0"/>
        <w:widowControl w:val="0"/>
        <w:shd w:val="clear" w:color="auto" w:fill="auto"/>
        <w:bidi w:val="0"/>
        <w:spacing w:before="0" w:after="0" w:line="240" w:lineRule="auto"/>
        <w:ind w:left="0" w:right="0" w:firstLine="66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49 </w:t>
      </w:r>
      <w:r>
        <w:rPr>
          <w:rStyle w:val="CharStyle11"/>
        </w:rPr>
        <w:t>Закона о контрактной системе электронный аукцион начинается с размещения в ЕИС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660"/>
        <w:jc w:val="both"/>
      </w:pPr>
      <w:r>
        <w:rPr>
          <w:rStyle w:val="CharStyle11"/>
        </w:rPr>
        <w:t xml:space="preserve">Комитетом Республики Адыгея по регулированию контрактной системы в сфере закупок (далее </w:t>
      </w:r>
      <w:r>
        <w:rPr>
          <w:rStyle w:val="CharStyle11"/>
          <w:lang w:val="en-US" w:eastAsia="en-US"/>
        </w:rPr>
        <w:t xml:space="preserve">– </w:t>
      </w:r>
      <w:r>
        <w:rPr>
          <w:rStyle w:val="CharStyle11"/>
        </w:rPr>
        <w:t xml:space="preserve">Уполномоченный орган) в ЕИС </w:t>
      </w:r>
      <w:r>
        <w:rPr>
          <w:rStyle w:val="CharStyle11"/>
          <w:lang w:val="en-US" w:eastAsia="en-US"/>
        </w:rPr>
        <w:t xml:space="preserve">06.05.2026 </w:t>
      </w:r>
      <w:r>
        <w:rPr>
          <w:rStyle w:val="CharStyle11"/>
        </w:rPr>
        <w:t xml:space="preserve">размещено электронное извещение о проведении Аукциона (далее </w:t>
      </w:r>
      <w:r>
        <w:rPr>
          <w:rStyle w:val="CharStyle11"/>
          <w:lang w:val="en-US" w:eastAsia="en-US"/>
        </w:rPr>
        <w:t xml:space="preserve">– </w:t>
      </w:r>
      <w:r>
        <w:rPr>
          <w:rStyle w:val="CharStyle11"/>
        </w:rPr>
        <w:t>Извещение).</w:t>
      </w:r>
    </w:p>
    <w:p>
      <w:pPr>
        <w:pStyle w:val="Style10"/>
        <w:keepNext w:val="0"/>
        <w:keepLines w:val="0"/>
        <w:widowControl w:val="0"/>
        <w:shd w:val="clear" w:color="auto" w:fill="auto"/>
        <w:bidi w:val="0"/>
        <w:spacing w:before="0" w:after="0" w:line="240" w:lineRule="auto"/>
        <w:ind w:left="0" w:right="0" w:firstLine="660"/>
        <w:jc w:val="both"/>
      </w:pPr>
      <w:r>
        <w:rPr>
          <w:rStyle w:val="CharStyle11"/>
        </w:rPr>
        <w:t xml:space="preserve">Начальная (максимальная) цена контракта </w:t>
      </w:r>
      <w:r>
        <w:rPr>
          <w:rStyle w:val="CharStyle11"/>
          <w:lang w:val="en-US" w:eastAsia="en-US"/>
        </w:rPr>
        <w:t xml:space="preserve">– 6 070 000,00 </w:t>
      </w:r>
      <w:r>
        <w:rPr>
          <w:rStyle w:val="CharStyle11"/>
        </w:rPr>
        <w:t>рублей.</w:t>
      </w:r>
    </w:p>
    <w:p>
      <w:pPr>
        <w:pStyle w:val="Style10"/>
        <w:keepNext w:val="0"/>
        <w:keepLines w:val="0"/>
        <w:widowControl w:val="0"/>
        <w:shd w:val="clear" w:color="auto" w:fill="auto"/>
        <w:bidi w:val="0"/>
        <w:spacing w:before="0" w:after="200" w:line="240" w:lineRule="auto"/>
        <w:ind w:left="0" w:right="0" w:firstLine="660"/>
        <w:jc w:val="both"/>
      </w:pPr>
      <w:r>
        <w:rPr>
          <w:rStyle w:val="CharStyle11"/>
        </w:rPr>
        <w:t xml:space="preserve">Объект рассматриваемой закупки: </w:t>
      </w:r>
      <w:r>
        <w:rPr>
          <w:rStyle w:val="CharStyle11"/>
          <w:b/>
          <w:bCs/>
        </w:rPr>
        <w:t>Система ультразвуковой визуализации универсальная, с питанием от сети</w:t>
      </w:r>
      <w:r>
        <w:rPr>
          <w:rStyle w:val="CharStyle11"/>
        </w:rPr>
        <w:t xml:space="preserve">; код КТРУ </w:t>
      </w:r>
      <w:r>
        <w:rPr>
          <w:rStyle w:val="CharStyle11"/>
          <w:lang w:val="en-US" w:eastAsia="en-US"/>
        </w:rPr>
        <w:t xml:space="preserve">- </w:t>
      </w:r>
      <w:r>
        <w:rPr>
          <w:rStyle w:val="CharStyle11"/>
          <w:b/>
          <w:bCs/>
          <w:lang w:val="en-US" w:eastAsia="en-US"/>
        </w:rPr>
        <w:t xml:space="preserve">26.60.12.132-00000036 </w:t>
      </w:r>
      <w:r>
        <w:rPr>
          <w:rStyle w:val="CharStyle11"/>
        </w:rPr>
        <w:t>«Система ультразвуковой визуализации универсальная, с питанием от сети».</w:t>
      </w:r>
    </w:p>
    <w:p>
      <w:pPr>
        <w:pStyle w:val="Style10"/>
        <w:keepNext w:val="0"/>
        <w:keepLines w:val="0"/>
        <w:widowControl w:val="0"/>
        <w:numPr>
          <w:ilvl w:val="0"/>
          <w:numId w:val="5"/>
        </w:numPr>
        <w:shd w:val="clear" w:color="auto" w:fill="auto"/>
        <w:tabs>
          <w:tab w:pos="993" w:val="left"/>
        </w:tabs>
        <w:bidi w:val="0"/>
        <w:spacing w:before="0" w:after="0" w:line="240" w:lineRule="auto"/>
        <w:ind w:left="0" w:right="0" w:firstLine="660"/>
        <w:jc w:val="both"/>
      </w:pPr>
      <w:r>
        <w:rPr>
          <w:rStyle w:val="CharStyle11"/>
        </w:rPr>
        <w:t xml:space="preserve">На основании требований пункта </w:t>
      </w:r>
      <w:r>
        <w:rPr>
          <w:rStyle w:val="CharStyle11"/>
          <w:lang w:val="en-US" w:eastAsia="en-US"/>
        </w:rPr>
        <w:t xml:space="preserve">2 </w:t>
      </w:r>
      <w:r>
        <w:rPr>
          <w:rStyle w:val="CharStyle11"/>
        </w:rPr>
        <w:t xml:space="preserve">части </w:t>
      </w:r>
      <w:r>
        <w:rPr>
          <w:rStyle w:val="CharStyle11"/>
          <w:lang w:val="en-US" w:eastAsia="en-US"/>
        </w:rPr>
        <w:t xml:space="preserve">3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w:t>
      </w:r>
      <w:r>
        <w:rPr>
          <w:rStyle w:val="CharStyle11"/>
          <w:u w:val="single"/>
        </w:rPr>
        <w:t>за исключением случаев, если начальная (максимальная) цена контракта не превышает триста миллионов рублей</w:t>
      </w:r>
      <w:r>
        <w:rPr>
          <w:rStyle w:val="CharStyle11"/>
        </w:rPr>
        <w:t xml:space="preserve">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11"/>
          <w:u w:val="single"/>
        </w:rPr>
        <w:t xml:space="preserve">при которых такое извещение размещается </w:t>
      </w:r>
      <w:r>
        <w:rPr>
          <w:rStyle w:val="CharStyle11"/>
          <w:b/>
          <w:bCs/>
          <w:u w:val="single"/>
        </w:rPr>
        <w:t xml:space="preserve">не менее чем за семь дней до даты окончания срока подачи заявок </w:t>
      </w:r>
      <w:r>
        <w:rPr>
          <w:rStyle w:val="CharStyle11"/>
          <w:u w:val="single"/>
        </w:rPr>
        <w:t>на участие в закупке</w:t>
      </w:r>
      <w:r>
        <w:rPr>
          <w:rStyle w:val="CharStyle11"/>
        </w:rPr>
        <w:t>.</w:t>
      </w:r>
    </w:p>
    <w:p>
      <w:pPr>
        <w:pStyle w:val="Style10"/>
        <w:keepNext w:val="0"/>
        <w:keepLines w:val="0"/>
        <w:widowControl w:val="0"/>
        <w:shd w:val="clear" w:color="auto" w:fill="auto"/>
        <w:bidi w:val="0"/>
        <w:spacing w:before="0" w:after="0" w:line="240" w:lineRule="auto"/>
        <w:ind w:left="0" w:right="0" w:firstLine="660"/>
        <w:jc w:val="both"/>
      </w:pPr>
      <w:r>
        <w:rPr>
          <w:rStyle w:val="CharStyle11"/>
        </w:rPr>
        <w:t xml:space="preserve">Как установила Комиссия УФАС, Извещение об осуществлении Аукциона было размещено Уполномоченным органом в ЕИС </w:t>
      </w:r>
      <w:r>
        <w:rPr>
          <w:rStyle w:val="CharStyle11"/>
          <w:lang w:val="en-US" w:eastAsia="en-US"/>
        </w:rPr>
        <w:t xml:space="preserve">06.05.2026. </w:t>
      </w:r>
      <w:r>
        <w:rPr>
          <w:rStyle w:val="CharStyle11"/>
        </w:rPr>
        <w:t xml:space="preserve">Указанные в Извещении дата и время окончания срока подачи заявок </w:t>
      </w:r>
      <w:r>
        <w:rPr>
          <w:rStyle w:val="CharStyle11"/>
          <w:lang w:val="en-US" w:eastAsia="en-US"/>
        </w:rPr>
        <w:t xml:space="preserve">– </w:t>
      </w:r>
      <w:r>
        <w:rPr>
          <w:rStyle w:val="CharStyle11"/>
          <w:b/>
          <w:bCs/>
          <w:lang w:val="en-US" w:eastAsia="en-US"/>
        </w:rPr>
        <w:t>14.05.2026 9:00</w:t>
      </w:r>
      <w:r>
        <w:rPr>
          <w:rStyle w:val="CharStyle11"/>
          <w:lang w:val="en-US" w:eastAsia="en-US"/>
        </w:rPr>
        <w:t xml:space="preserve">, </w:t>
      </w:r>
      <w:r>
        <w:rPr>
          <w:rStyle w:val="CharStyle11"/>
        </w:rPr>
        <w:t xml:space="preserve">что составляет срок более </w:t>
      </w:r>
      <w:r>
        <w:rPr>
          <w:rStyle w:val="CharStyle11"/>
          <w:lang w:val="en-US" w:eastAsia="en-US"/>
        </w:rPr>
        <w:t xml:space="preserve">7 </w:t>
      </w:r>
      <w:r>
        <w:rPr>
          <w:rStyle w:val="CharStyle11"/>
        </w:rPr>
        <w:t>(семи) дней и не нарушает требования Закона о контрактной системе к сроку размещения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660"/>
        <w:jc w:val="both"/>
      </w:pPr>
      <w:r>
        <w:rPr>
          <w:rStyle w:val="CharStyle11"/>
        </w:rPr>
        <w:t xml:space="preserve">Таким образом, данный довод жалобы Заявителя не нашел своего подтверждения и признан </w:t>
      </w:r>
      <w:r>
        <w:rPr>
          <w:rStyle w:val="CharStyle11"/>
          <w:b/>
          <w:bCs/>
        </w:rPr>
        <w:t>необоснованным</w:t>
      </w:r>
      <w:r>
        <w:rPr>
          <w:rStyle w:val="CharStyle11"/>
        </w:rPr>
        <w:t>.</w:t>
      </w:r>
    </w:p>
    <w:p>
      <w:pPr>
        <w:pStyle w:val="Style10"/>
        <w:keepNext w:val="0"/>
        <w:keepLines w:val="0"/>
        <w:widowControl w:val="0"/>
        <w:numPr>
          <w:ilvl w:val="0"/>
          <w:numId w:val="5"/>
        </w:numPr>
        <w:shd w:val="clear" w:color="auto" w:fill="auto"/>
        <w:tabs>
          <w:tab w:pos="980" w:val="left"/>
        </w:tabs>
        <w:bidi w:val="0"/>
        <w:spacing w:before="0" w:after="0" w:line="240" w:lineRule="auto"/>
        <w:ind w:left="0" w:right="0" w:firstLine="640"/>
        <w:jc w:val="both"/>
      </w:pPr>
      <w:r>
        <w:rPr>
          <w:rStyle w:val="CharStyle11"/>
        </w:rPr>
        <w:t>Довод об установленных Заказчиком требованиях, связанных с исполнением контракта в сторонних программных продуктах, кроме ЕИС, также не нашел своего подтверждения, так как Извещение об осуществлении рассматриваемой закупки не содержит указанных в доводе требований.</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Проект контракта, являющийся приложением к Извещению, напротив содержит условия о формировании всех видов документов по исполнению контракта и о направлении таких документов сторонам контракта </w:t>
      </w:r>
      <w:r>
        <w:rPr>
          <w:rStyle w:val="CharStyle11"/>
          <w:u w:val="single"/>
        </w:rPr>
        <w:t>только с использованием ЕИС</w:t>
      </w:r>
      <w:r>
        <w:rPr>
          <w:rStyle w:val="CharStyle11"/>
        </w:rPr>
        <w:t>.</w:t>
      </w:r>
    </w:p>
    <w:p>
      <w:pPr>
        <w:pStyle w:val="Style10"/>
        <w:keepNext w:val="0"/>
        <w:keepLines w:val="0"/>
        <w:widowControl w:val="0"/>
        <w:shd w:val="clear" w:color="auto" w:fill="auto"/>
        <w:bidi w:val="0"/>
        <w:spacing w:before="0" w:after="200" w:line="240" w:lineRule="auto"/>
        <w:ind w:left="0" w:right="0" w:firstLine="640"/>
        <w:jc w:val="both"/>
      </w:pPr>
      <w:r>
        <w:rPr>
          <w:rStyle w:val="CharStyle11"/>
        </w:rPr>
        <w:t xml:space="preserve">Следовательно, данный довод также является </w:t>
      </w:r>
      <w:r>
        <w:rPr>
          <w:rStyle w:val="CharStyle11"/>
          <w:b/>
          <w:bCs/>
        </w:rPr>
        <w:t>необоснованным</w:t>
      </w:r>
      <w:r>
        <w:rPr>
          <w:rStyle w:val="CharStyle11"/>
        </w:rPr>
        <w:t>.</w:t>
      </w:r>
    </w:p>
    <w:p>
      <w:pPr>
        <w:pStyle w:val="Style10"/>
        <w:keepNext w:val="0"/>
        <w:keepLines w:val="0"/>
        <w:widowControl w:val="0"/>
        <w:numPr>
          <w:ilvl w:val="0"/>
          <w:numId w:val="5"/>
        </w:numPr>
        <w:shd w:val="clear" w:color="auto" w:fill="auto"/>
        <w:tabs>
          <w:tab w:pos="975" w:val="left"/>
        </w:tabs>
        <w:bidi w:val="0"/>
        <w:spacing w:before="0" w:after="200" w:line="240" w:lineRule="auto"/>
        <w:ind w:left="0" w:right="0" w:firstLine="640"/>
        <w:jc w:val="both"/>
      </w:pPr>
      <w:r>
        <w:rPr>
          <w:rStyle w:val="CharStyle11"/>
        </w:rPr>
        <w:t xml:space="preserve">Довод жалобы Заявителя о том, что Заказчиком не установлены ограничения по Постановлению Правительства Российской Федерации от </w:t>
      </w:r>
      <w:r>
        <w:rPr>
          <w:rStyle w:val="CharStyle11"/>
          <w:lang w:val="en-US" w:eastAsia="en-US"/>
        </w:rPr>
        <w:t xml:space="preserve">10.07.2019 №878 </w:t>
      </w:r>
      <w:r>
        <w:rPr>
          <w:rStyle w:val="CharStyle11"/>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1"/>
          <w:lang w:val="en-US" w:eastAsia="en-US"/>
        </w:rPr>
        <w:t xml:space="preserve">16 </w:t>
      </w:r>
      <w:r>
        <w:rPr>
          <w:rStyle w:val="CharStyle11"/>
        </w:rPr>
        <w:t xml:space="preserve">сентября </w:t>
      </w:r>
      <w:r>
        <w:rPr>
          <w:rStyle w:val="CharStyle11"/>
          <w:lang w:val="en-US" w:eastAsia="en-US"/>
        </w:rPr>
        <w:t xml:space="preserve">2016 </w:t>
      </w:r>
      <w:r>
        <w:rPr>
          <w:rStyle w:val="CharStyle11"/>
        </w:rPr>
        <w:t xml:space="preserve">г. </w:t>
      </w:r>
      <w:r>
        <w:rPr>
          <w:rStyle w:val="CharStyle11"/>
          <w:lang w:val="en-US" w:eastAsia="en-US"/>
        </w:rPr>
        <w:t xml:space="preserve">№925 </w:t>
      </w:r>
      <w:r>
        <w:rPr>
          <w:rStyle w:val="CharStyle11"/>
        </w:rPr>
        <w:t xml:space="preserve">и признании утратившими силу некоторых актов Правительства Российской Федерации»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№878) </w:t>
      </w:r>
      <w:r>
        <w:rPr>
          <w:rStyle w:val="CharStyle11"/>
        </w:rPr>
        <w:t xml:space="preserve">и по Приказу Минфина России от </w:t>
      </w:r>
      <w:r>
        <w:rPr>
          <w:rStyle w:val="CharStyle11"/>
          <w:lang w:val="en-US" w:eastAsia="en-US"/>
        </w:rPr>
        <w:t xml:space="preserve">4 </w:t>
      </w:r>
      <w:r>
        <w:rPr>
          <w:rStyle w:val="CharStyle11"/>
        </w:rPr>
        <w:t xml:space="preserve">июня </w:t>
      </w:r>
      <w:r>
        <w:rPr>
          <w:rStyle w:val="CharStyle11"/>
          <w:lang w:val="en-US" w:eastAsia="en-US"/>
        </w:rPr>
        <w:t xml:space="preserve">2018 </w:t>
      </w:r>
      <w:r>
        <w:rPr>
          <w:rStyle w:val="CharStyle11"/>
        </w:rPr>
        <w:t xml:space="preserve">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1"/>
          <w:lang w:val="en-US" w:eastAsia="en-US"/>
        </w:rPr>
        <w:t xml:space="preserve">– </w:t>
      </w:r>
      <w:r>
        <w:rPr>
          <w:rStyle w:val="CharStyle11"/>
        </w:rPr>
        <w:t xml:space="preserve">Приказ №126н) признан Комиссией УФАС </w:t>
      </w:r>
      <w:r>
        <w:rPr>
          <w:rStyle w:val="CharStyle11"/>
          <w:b/>
          <w:bCs/>
        </w:rPr>
        <w:t>необоснованным</w:t>
      </w:r>
      <w:r>
        <w:rPr>
          <w:rStyle w:val="CharStyle11"/>
        </w:rPr>
        <w:t xml:space="preserve">, так как пункты Постановления </w:t>
      </w:r>
      <w:r>
        <w:rPr>
          <w:rStyle w:val="CharStyle11"/>
          <w:lang w:val="en-US" w:eastAsia="en-US"/>
        </w:rPr>
        <w:t xml:space="preserve">№878, </w:t>
      </w:r>
      <w:r>
        <w:rPr>
          <w:rStyle w:val="CharStyle11"/>
        </w:rPr>
        <w:t xml:space="preserve">устанавливающие ограничения при осуществлении закупок радиоэлектронной продукции, </w:t>
      </w:r>
      <w:r>
        <w:rPr>
          <w:rStyle w:val="CharStyle11"/>
          <w:b/>
          <w:bCs/>
        </w:rPr>
        <w:t>утратили силу</w:t>
      </w:r>
      <w:r>
        <w:rPr>
          <w:rStyle w:val="CharStyle11"/>
        </w:rPr>
        <w:t xml:space="preserve">, а Приказ №126н </w:t>
      </w:r>
      <w:r>
        <w:rPr>
          <w:rStyle w:val="CharStyle11"/>
          <w:b/>
          <w:bCs/>
        </w:rPr>
        <w:t xml:space="preserve">прекратил свое действие </w:t>
      </w:r>
      <w:r>
        <w:rPr>
          <w:rStyle w:val="CharStyle11"/>
          <w:b/>
          <w:bCs/>
          <w:lang w:val="en-US" w:eastAsia="en-US"/>
        </w:rPr>
        <w:t xml:space="preserve">- </w:t>
      </w:r>
      <w:r>
        <w:rPr>
          <w:rStyle w:val="CharStyle11"/>
          <w:b/>
          <w:bCs/>
        </w:rPr>
        <w:t xml:space="preserve">с </w:t>
      </w:r>
      <w:r>
        <w:rPr>
          <w:rStyle w:val="CharStyle11"/>
          <w:b/>
          <w:bCs/>
          <w:lang w:val="en-US" w:eastAsia="en-US"/>
        </w:rPr>
        <w:t xml:space="preserve">01 </w:t>
      </w:r>
      <w:r>
        <w:rPr>
          <w:rStyle w:val="CharStyle11"/>
          <w:b/>
          <w:bCs/>
        </w:rPr>
        <w:t xml:space="preserve">января </w:t>
      </w:r>
      <w:r>
        <w:rPr>
          <w:rStyle w:val="CharStyle11"/>
          <w:b/>
          <w:bCs/>
          <w:lang w:val="en-US" w:eastAsia="en-US"/>
        </w:rPr>
        <w:t xml:space="preserve">2025 </w:t>
      </w:r>
      <w:r>
        <w:rPr>
          <w:rStyle w:val="CharStyle11"/>
          <w:b/>
          <w:bCs/>
        </w:rPr>
        <w:t>года</w:t>
      </w:r>
      <w:r>
        <w:rPr>
          <w:rStyle w:val="CharStyle11"/>
        </w:rPr>
        <w:t>.</w:t>
      </w:r>
    </w:p>
    <w:p>
      <w:pPr>
        <w:pStyle w:val="Style10"/>
        <w:keepNext w:val="0"/>
        <w:keepLines w:val="0"/>
        <w:widowControl w:val="0"/>
        <w:numPr>
          <w:ilvl w:val="0"/>
          <w:numId w:val="5"/>
        </w:numPr>
        <w:shd w:val="clear" w:color="auto" w:fill="auto"/>
        <w:tabs>
          <w:tab w:pos="980" w:val="left"/>
        </w:tabs>
        <w:bidi w:val="0"/>
        <w:spacing w:before="0" w:after="200" w:line="240" w:lineRule="auto"/>
        <w:ind w:left="0" w:right="0" w:firstLine="64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616" w:right="751" w:bottom="1266" w:left="1074" w:header="0" w:footer="3" w:gutter="0"/>
          <w:cols w:space="720"/>
          <w:noEndnote/>
          <w:rtlGutter w:val="0"/>
          <w:docGrid w:linePitch="360"/>
        </w:sectPr>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 xml:space="preserve">российское лицо),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w:t>
      </w:r>
    </w:p>
    <w:p>
      <w:pPr>
        <w:pStyle w:val="Style10"/>
        <w:keepNext w:val="0"/>
        <w:keepLines w:val="0"/>
        <w:widowControl w:val="0"/>
        <w:shd w:val="clear" w:color="auto" w:fill="auto"/>
        <w:bidi w:val="0"/>
        <w:spacing w:before="0" w:after="0" w:line="240" w:lineRule="auto"/>
        <w:ind w:left="0" w:right="0" w:firstLine="0"/>
        <w:jc w:val="both"/>
      </w:pPr>
      <w:r>
        <w:rPr>
          <w:rStyle w:val="CharStyle11"/>
        </w:rPr>
        <w:t>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600"/>
        <w:jc w:val="both"/>
      </w:pPr>
      <w:r>
        <w:rPr>
          <w:rStyle w:val="CharStyle11"/>
        </w:rPr>
        <w:t xml:space="preserve">Частью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установлено, что Правительство Российской Федерации:</w:t>
      </w:r>
    </w:p>
    <w:p>
      <w:pPr>
        <w:pStyle w:val="Style10"/>
        <w:keepNext w:val="0"/>
        <w:keepLines w:val="0"/>
        <w:widowControl w:val="0"/>
        <w:numPr>
          <w:ilvl w:val="0"/>
          <w:numId w:val="7"/>
        </w:numPr>
        <w:shd w:val="clear" w:color="auto" w:fill="auto"/>
        <w:tabs>
          <w:tab w:pos="952" w:val="left"/>
        </w:tabs>
        <w:bidi w:val="0"/>
        <w:spacing w:before="0" w:after="0" w:line="240" w:lineRule="auto"/>
        <w:ind w:left="0" w:right="0" w:firstLine="600"/>
        <w:jc w:val="both"/>
      </w:pPr>
      <w:r>
        <w:rPr>
          <w:rStyle w:val="CharStyle11"/>
        </w:rPr>
        <w:t xml:space="preserve">вправе с учетом положений части </w:t>
      </w:r>
      <w:r>
        <w:rPr>
          <w:rStyle w:val="CharStyle11"/>
          <w:lang w:val="en-US" w:eastAsia="en-US"/>
        </w:rPr>
        <w:t xml:space="preserve">3 </w:t>
      </w:r>
      <w:r>
        <w:rPr>
          <w:rStyle w:val="CharStyle11"/>
        </w:rPr>
        <w:t>настоящей статьи принимать меры устанавливающие:</w:t>
      </w:r>
    </w:p>
    <w:p>
      <w:pPr>
        <w:pStyle w:val="Style10"/>
        <w:keepNext w:val="0"/>
        <w:keepLines w:val="0"/>
        <w:widowControl w:val="0"/>
        <w:numPr>
          <w:ilvl w:val="0"/>
          <w:numId w:val="9"/>
        </w:numPr>
        <w:shd w:val="clear" w:color="auto" w:fill="auto"/>
        <w:tabs>
          <w:tab w:pos="932" w:val="left"/>
        </w:tabs>
        <w:bidi w:val="0"/>
        <w:spacing w:before="0" w:after="0" w:line="240" w:lineRule="auto"/>
        <w:ind w:left="0" w:right="0" w:firstLine="60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9"/>
        </w:numPr>
        <w:shd w:val="clear" w:color="auto" w:fill="auto"/>
        <w:tabs>
          <w:tab w:pos="952" w:val="left"/>
        </w:tabs>
        <w:bidi w:val="0"/>
        <w:spacing w:before="0" w:after="0" w:line="240" w:lineRule="auto"/>
        <w:ind w:left="0" w:right="0" w:firstLine="60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9"/>
        </w:numPr>
        <w:shd w:val="clear" w:color="auto" w:fill="auto"/>
        <w:tabs>
          <w:tab w:pos="942" w:val="left"/>
        </w:tabs>
        <w:bidi w:val="0"/>
        <w:spacing w:before="0" w:after="0" w:line="240" w:lineRule="auto"/>
        <w:ind w:left="0" w:right="0" w:firstLine="6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numPr>
          <w:ilvl w:val="0"/>
          <w:numId w:val="7"/>
        </w:numPr>
        <w:shd w:val="clear" w:color="auto" w:fill="auto"/>
        <w:tabs>
          <w:tab w:pos="942" w:val="left"/>
        </w:tabs>
        <w:bidi w:val="0"/>
        <w:spacing w:before="0" w:after="0" w:line="240" w:lineRule="auto"/>
        <w:ind w:left="0" w:right="0" w:firstLine="600"/>
        <w:jc w:val="both"/>
      </w:pPr>
      <w:r>
        <w:rPr>
          <w:rStyle w:val="CharStyle11"/>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1"/>
          <w:lang w:val="en-US" w:eastAsia="en-US"/>
        </w:rPr>
        <w:t xml:space="preserve">1 </w:t>
      </w:r>
      <w:r>
        <w:rPr>
          <w:rStyle w:val="CharStyle11"/>
        </w:rPr>
        <w:t>настоящей части.</w:t>
      </w:r>
    </w:p>
    <w:p>
      <w:pPr>
        <w:pStyle w:val="Style10"/>
        <w:keepNext w:val="0"/>
        <w:keepLines w:val="0"/>
        <w:widowControl w:val="0"/>
        <w:shd w:val="clear" w:color="auto" w:fill="auto"/>
        <w:bidi w:val="0"/>
        <w:spacing w:before="0" w:after="0" w:line="240" w:lineRule="auto"/>
        <w:ind w:left="0" w:right="0" w:firstLine="600"/>
        <w:jc w:val="both"/>
      </w:pPr>
      <w:r>
        <w:rPr>
          <w:rStyle w:val="CharStyle11"/>
        </w:rPr>
        <w:t xml:space="preserve">Постановлением Правительства Российской Федерации от </w:t>
      </w:r>
      <w:r>
        <w:rPr>
          <w:rStyle w:val="CharStyle11"/>
          <w:lang w:val="en-US" w:eastAsia="en-US"/>
        </w:rPr>
        <w:t xml:space="preserve">23.12.2024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№1875) </w:t>
      </w:r>
      <w:r>
        <w:rPr>
          <w:rStyle w:val="CharStyle11"/>
        </w:rPr>
        <w:t>утверждены:</w:t>
      </w:r>
    </w:p>
    <w:p>
      <w:pPr>
        <w:pStyle w:val="Style10"/>
        <w:keepNext w:val="0"/>
        <w:keepLines w:val="0"/>
        <w:widowControl w:val="0"/>
        <w:numPr>
          <w:ilvl w:val="0"/>
          <w:numId w:val="11"/>
        </w:numPr>
        <w:shd w:val="clear" w:color="auto" w:fill="auto"/>
        <w:tabs>
          <w:tab w:pos="924" w:val="left"/>
        </w:tabs>
        <w:bidi w:val="0"/>
        <w:spacing w:before="0" w:after="0" w:line="240" w:lineRule="auto"/>
        <w:ind w:left="0" w:right="0" w:firstLine="600"/>
        <w:jc w:val="both"/>
      </w:pPr>
      <w:r>
        <w:rPr>
          <w:rStyle w:val="CharStyle11"/>
        </w:rPr>
        <w:t xml:space="preserve">Приложение </w:t>
      </w:r>
      <w:r>
        <w:rPr>
          <w:rStyle w:val="CharStyle11"/>
          <w:lang w:val="en-US" w:eastAsia="en-US"/>
        </w:rPr>
        <w:t xml:space="preserve">№1 </w:t>
      </w:r>
      <w:r>
        <w:rPr>
          <w:rStyle w:val="CharStyle11"/>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w:t>
      </w:r>
      <w:r>
        <w:rPr>
          <w:rStyle w:val="CharStyle11"/>
          <w:u w:val="single"/>
        </w:rPr>
        <w:t xml:space="preserve">устанавливается </w:t>
      </w:r>
      <w:r>
        <w:rPr>
          <w:rStyle w:val="CharStyle11"/>
          <w:b/>
          <w:bCs/>
          <w:u w:val="single"/>
        </w:rPr>
        <w:t xml:space="preserve">запрет </w:t>
      </w:r>
      <w:r>
        <w:rPr>
          <w:rStyle w:val="CharStyle11"/>
          <w:u w:val="single"/>
        </w:rPr>
        <w:t>закупок</w:t>
      </w:r>
      <w:r>
        <w:rPr>
          <w:rStyle w:val="CharStyle11"/>
        </w:rPr>
        <w:t xml:space="preserve"> для обеспечения государственных и муниципальных нужд, закупок отдельными видами юридических лиц» (далее </w:t>
      </w:r>
      <w:r>
        <w:rPr>
          <w:rStyle w:val="CharStyle11"/>
          <w:lang w:val="en-US" w:eastAsia="en-US"/>
        </w:rPr>
        <w:t xml:space="preserve">– </w:t>
      </w:r>
      <w:r>
        <w:rPr>
          <w:rStyle w:val="CharStyle11"/>
        </w:rPr>
        <w:t xml:space="preserve">Приложение </w:t>
      </w:r>
      <w:r>
        <w:rPr>
          <w:rStyle w:val="CharStyle11"/>
          <w:lang w:val="en-US" w:eastAsia="en-US"/>
        </w:rPr>
        <w:t>№1);</w:t>
      </w:r>
    </w:p>
    <w:p>
      <w:pPr>
        <w:pStyle w:val="Style10"/>
        <w:keepNext w:val="0"/>
        <w:keepLines w:val="0"/>
        <w:widowControl w:val="0"/>
        <w:numPr>
          <w:ilvl w:val="0"/>
          <w:numId w:val="11"/>
        </w:numPr>
        <w:shd w:val="clear" w:color="auto" w:fill="auto"/>
        <w:tabs>
          <w:tab w:pos="924" w:val="left"/>
        </w:tabs>
        <w:bidi w:val="0"/>
        <w:spacing w:before="0" w:after="0" w:line="240" w:lineRule="auto"/>
        <w:ind w:left="0" w:right="0" w:firstLine="600"/>
        <w:jc w:val="both"/>
      </w:pPr>
      <w:r>
        <w:rPr>
          <w:rStyle w:val="CharStyle11"/>
        </w:rPr>
        <w:t xml:space="preserve">Приложение </w:t>
      </w:r>
      <w:r>
        <w:rPr>
          <w:rStyle w:val="CharStyle11"/>
          <w:lang w:val="en-US" w:eastAsia="en-US"/>
        </w:rPr>
        <w:t xml:space="preserve">№2 </w:t>
      </w:r>
      <w:r>
        <w:rPr>
          <w:rStyle w:val="CharStyle11"/>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w:t>
      </w:r>
      <w:r>
        <w:rPr>
          <w:rStyle w:val="CharStyle11"/>
          <w:u w:val="single"/>
        </w:rPr>
        <w:t xml:space="preserve">устанавливается </w:t>
      </w:r>
      <w:r>
        <w:rPr>
          <w:rStyle w:val="CharStyle11"/>
          <w:b/>
          <w:bCs/>
          <w:u w:val="single"/>
        </w:rPr>
        <w:t xml:space="preserve">ограничение </w:t>
      </w:r>
      <w:r>
        <w:rPr>
          <w:rStyle w:val="CharStyle11"/>
          <w:u w:val="single"/>
        </w:rPr>
        <w:t>закупок</w:t>
      </w:r>
      <w:r>
        <w:rPr>
          <w:rStyle w:val="CharStyle11"/>
        </w:rPr>
        <w:t xml:space="preserve"> для обеспечения государственных и муниципальных нужд, закупок отдельными видами юридических лиц» (далее </w:t>
      </w:r>
      <w:r>
        <w:rPr>
          <w:rStyle w:val="CharStyle11"/>
          <w:lang w:val="en-US" w:eastAsia="en-US"/>
        </w:rPr>
        <w:t xml:space="preserve">– </w:t>
      </w:r>
      <w:r>
        <w:rPr>
          <w:rStyle w:val="CharStyle11"/>
        </w:rPr>
        <w:t xml:space="preserve">Приложение </w:t>
      </w:r>
      <w:r>
        <w:rPr>
          <w:rStyle w:val="CharStyle11"/>
          <w:lang w:val="en-US" w:eastAsia="en-US"/>
        </w:rPr>
        <w:t>№2).</w:t>
      </w:r>
    </w:p>
    <w:p>
      <w:pPr>
        <w:pStyle w:val="Style10"/>
        <w:keepNext w:val="0"/>
        <w:keepLines w:val="0"/>
        <w:widowControl w:val="0"/>
        <w:shd w:val="clear" w:color="auto" w:fill="auto"/>
        <w:bidi w:val="0"/>
        <w:spacing w:before="0" w:after="0" w:line="283" w:lineRule="auto"/>
        <w:ind w:left="0" w:right="0" w:firstLine="600"/>
        <w:jc w:val="both"/>
        <w:rPr>
          <w:sz w:val="24"/>
          <w:szCs w:val="24"/>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666" w:right="771" w:bottom="788" w:left="1106" w:header="0" w:footer="3" w:gutter="0"/>
          <w:cols w:space="720"/>
          <w:noEndnote/>
          <w:rtlGutter w:val="0"/>
          <w:docGrid w:linePitch="360"/>
        </w:sectPr>
      </w:pPr>
      <w:r>
        <w:rPr>
          <w:rStyle w:val="CharStyle11"/>
        </w:rPr>
        <w:t xml:space="preserve">Пунктом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w:t>
      </w:r>
      <w:r>
        <w:rPr>
          <w:rStyle w:val="CharStyle11"/>
          <w:sz w:val="24"/>
          <w:szCs w:val="24"/>
          <w:lang w:val="en-US" w:eastAsia="en-US"/>
        </w:rPr>
        <w:t>2026-1152</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подписью лица, имеющего право действовать от имени заказчика, и размещает в ЕИС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Как установила Комиссия УФАС, объектом рассматриваемой закупки является: </w:t>
      </w:r>
      <w:r>
        <w:rPr>
          <w:rStyle w:val="CharStyle11"/>
          <w:b/>
          <w:bCs/>
        </w:rPr>
        <w:t>Система ультразвуковой визуализации универсальная, с питанием от сети</w:t>
      </w:r>
      <w:r>
        <w:rPr>
          <w:rStyle w:val="CharStyle11"/>
        </w:rPr>
        <w:t xml:space="preserve">. В Извещении Заказчиком применен код КТРУ </w:t>
      </w:r>
      <w:r>
        <w:rPr>
          <w:rStyle w:val="CharStyle11"/>
          <w:lang w:val="en-US" w:eastAsia="en-US"/>
        </w:rPr>
        <w:t xml:space="preserve">– </w:t>
      </w:r>
      <w:r>
        <w:rPr>
          <w:rStyle w:val="CharStyle11"/>
          <w:b/>
          <w:bCs/>
          <w:lang w:val="en-US" w:eastAsia="en-US"/>
        </w:rPr>
        <w:t>26.60.12.132-00000036</w:t>
      </w:r>
      <w:r>
        <w:rPr>
          <w:rStyle w:val="CharStyle11"/>
          <w:lang w:val="en-US" w:eastAsia="en-US"/>
        </w:rPr>
        <w:t>.</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В соответствии с пунктом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Заказчик в Извещении в разделе «Применение национального режима по ст. </w:t>
      </w:r>
      <w:r>
        <w:rPr>
          <w:rStyle w:val="CharStyle11"/>
          <w:lang w:val="en-US" w:eastAsia="en-US"/>
        </w:rPr>
        <w:t xml:space="preserve">14 </w:t>
      </w:r>
      <w:r>
        <w:rPr>
          <w:rStyle w:val="CharStyle11"/>
        </w:rPr>
        <w:t xml:space="preserve">Закона </w:t>
      </w:r>
      <w:r>
        <w:rPr>
          <w:rStyle w:val="CharStyle11"/>
          <w:lang w:val="en-US" w:eastAsia="en-US"/>
        </w:rPr>
        <w:t xml:space="preserve">№ </w:t>
      </w:r>
      <w:r>
        <w:rPr>
          <w:rStyle w:val="CharStyle11"/>
        </w:rPr>
        <w:t xml:space="preserve">44-ФЗ» установил требование </w:t>
      </w:r>
      <w:r>
        <w:rPr>
          <w:rStyle w:val="CharStyle11"/>
          <w:lang w:val="en-US" w:eastAsia="en-US"/>
        </w:rPr>
        <w:t xml:space="preserve">– </w:t>
      </w:r>
      <w:r>
        <w:rPr>
          <w:rStyle w:val="CharStyle11"/>
        </w:rPr>
        <w:t>«</w:t>
      </w:r>
      <w:r>
        <w:rPr>
          <w:rStyle w:val="CharStyle11"/>
          <w:b/>
          <w:bCs/>
        </w:rPr>
        <w:t>Ограничение закупок товаров, происходящих из иностранных государств</w:t>
      </w:r>
      <w:r>
        <w:rPr>
          <w:rStyle w:val="CharStyle11"/>
        </w:rPr>
        <w:t xml:space="preserve">» (далее </w:t>
      </w:r>
      <w:r>
        <w:rPr>
          <w:rStyle w:val="CharStyle11"/>
          <w:lang w:val="en-US" w:eastAsia="en-US"/>
        </w:rPr>
        <w:t xml:space="preserve">– </w:t>
      </w:r>
      <w:r>
        <w:rPr>
          <w:rStyle w:val="CharStyle11"/>
        </w:rPr>
        <w:t xml:space="preserve">Ограничение), так как закупаемый товар соответствует позиции </w:t>
      </w:r>
      <w:r>
        <w:rPr>
          <w:rStyle w:val="CharStyle11"/>
          <w:b/>
          <w:bCs/>
          <w:lang w:val="en-US" w:eastAsia="en-US"/>
        </w:rPr>
        <w:t xml:space="preserve">№314 </w:t>
      </w:r>
      <w:r>
        <w:rPr>
          <w:rStyle w:val="CharStyle11"/>
        </w:rPr>
        <w:t xml:space="preserve">Приложения </w:t>
      </w:r>
      <w:r>
        <w:rPr>
          <w:rStyle w:val="CharStyle11"/>
          <w:lang w:val="en-US" w:eastAsia="en-US"/>
        </w:rPr>
        <w:t xml:space="preserve">№2 </w:t>
      </w:r>
      <w:r>
        <w:rPr>
          <w:rStyle w:val="CharStyle11"/>
        </w:rPr>
        <w:t xml:space="preserve">(«Аппараты ультразвукового сканирования </w:t>
      </w:r>
      <w:r>
        <w:rPr>
          <w:rStyle w:val="CharStyle11"/>
          <w:lang w:val="en-US" w:eastAsia="en-US"/>
        </w:rPr>
        <w:t>– 26.60.12.132»).</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Ограничение должно применяться Комиссией по осуществлению закупок при рассмотрении поданных заявок по принципу </w:t>
      </w:r>
      <w:r>
        <w:rPr>
          <w:rStyle w:val="CharStyle11"/>
          <w:u w:val="single"/>
        </w:rPr>
        <w:t>«второй лишний»</w:t>
      </w:r>
      <w:r>
        <w:rPr>
          <w:rStyle w:val="CharStyle11"/>
        </w:rPr>
        <w:t xml:space="preserve">, то есть отклоняются все заявки, содержащие предложение иностранного товара или российского товара (товара производства стран ЕАЭС), не подтвержденного выпиской из Реестра российской промышленной продукции (из евразийского реестра промышленных товаров государств </w:t>
      </w:r>
      <w:r>
        <w:rPr>
          <w:rStyle w:val="CharStyle11"/>
          <w:lang w:val="en-US" w:eastAsia="en-US"/>
        </w:rPr>
        <w:t xml:space="preserve">- </w:t>
      </w:r>
      <w:r>
        <w:rPr>
          <w:rStyle w:val="CharStyle11"/>
        </w:rPr>
        <w:t xml:space="preserve">членов ЕАЭС), при наличии хотя бы одной </w:t>
      </w:r>
      <w:r>
        <w:rPr>
          <w:rStyle w:val="CharStyle11"/>
          <w:u w:val="single"/>
        </w:rPr>
        <w:t>подтвержденной</w:t>
      </w:r>
      <w:r>
        <w:rPr>
          <w:rStyle w:val="CharStyle11"/>
        </w:rPr>
        <w:t xml:space="preserve"> заявки с товаром из России или стран ЕАЭС.</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При проведении рассматриваемой закупки применение положений Постановления </w:t>
      </w:r>
      <w:r>
        <w:rPr>
          <w:rStyle w:val="CharStyle11"/>
          <w:lang w:val="en-US" w:eastAsia="en-US"/>
        </w:rPr>
        <w:t xml:space="preserve">№1875 </w:t>
      </w:r>
      <w:r>
        <w:rPr>
          <w:rStyle w:val="CharStyle11"/>
          <w:u w:val="single"/>
        </w:rPr>
        <w:t>явилось актуальным</w:t>
      </w:r>
      <w:r>
        <w:rPr>
          <w:rStyle w:val="CharStyle11"/>
        </w:rPr>
        <w:t xml:space="preserve"> ввиду наличия </w:t>
      </w:r>
      <w:r>
        <w:rPr>
          <w:rStyle w:val="CharStyle11"/>
          <w:lang w:val="en-US" w:eastAsia="en-US"/>
        </w:rPr>
        <w:t xml:space="preserve">2 </w:t>
      </w:r>
      <w:r>
        <w:rPr>
          <w:rStyle w:val="CharStyle11"/>
        </w:rPr>
        <w:t xml:space="preserve">(Двух) участников закупки, один из которых предложил товар иностранного производства, а второй </w:t>
      </w:r>
      <w:r>
        <w:rPr>
          <w:rStyle w:val="CharStyle11"/>
          <w:lang w:val="en-US" w:eastAsia="en-US"/>
        </w:rPr>
        <w:t xml:space="preserve">– </w:t>
      </w:r>
      <w:r>
        <w:rPr>
          <w:rStyle w:val="CharStyle11"/>
        </w:rPr>
        <w:t>российский товар.</w:t>
      </w:r>
    </w:p>
    <w:p>
      <w:pPr>
        <w:pStyle w:val="Style10"/>
        <w:keepNext w:val="0"/>
        <w:keepLines w:val="0"/>
        <w:widowControl w:val="0"/>
        <w:shd w:val="clear" w:color="auto" w:fill="auto"/>
        <w:bidi w:val="0"/>
        <w:spacing w:before="0" w:after="200" w:line="240" w:lineRule="auto"/>
        <w:ind w:left="0" w:right="0" w:firstLine="640"/>
        <w:jc w:val="both"/>
      </w:pPr>
      <w:r>
        <w:rPr>
          <w:rStyle w:val="CharStyle11"/>
        </w:rPr>
        <w:t xml:space="preserve">Таким образом, данный довод жалобы признан </w:t>
      </w:r>
      <w:r>
        <w:rPr>
          <w:rStyle w:val="CharStyle11"/>
          <w:b/>
          <w:bCs/>
        </w:rPr>
        <w:t>необоснованным</w:t>
      </w:r>
      <w:r>
        <w:rPr>
          <w:rStyle w:val="CharStyle11"/>
        </w:rPr>
        <w:t>.</w:t>
      </w:r>
    </w:p>
    <w:p>
      <w:pPr>
        <w:pStyle w:val="Style10"/>
        <w:keepNext w:val="0"/>
        <w:keepLines w:val="0"/>
        <w:widowControl w:val="0"/>
        <w:shd w:val="clear" w:color="auto" w:fill="auto"/>
        <w:bidi w:val="0"/>
        <w:spacing w:before="0" w:after="0" w:line="240" w:lineRule="auto"/>
        <w:ind w:left="0" w:right="0" w:firstLine="640"/>
        <w:jc w:val="both"/>
        <w:sectPr>
          <w:footnotePr>
            <w:pos w:val="pageBottom"/>
            <w:numFmt w:val="decimal"/>
            <w:numRestart w:val="continuous"/>
          </w:footnotePr>
          <w:pgSz w:w="11900" w:h="16840"/>
          <w:pgMar w:top="1666" w:right="772" w:bottom="1335" w:left="1102" w:header="0" w:footer="3" w:gutter="0"/>
          <w:cols w:space="720"/>
          <w:noEndnote/>
          <w:rtlGutter w:val="0"/>
          <w:docGrid w:linePitch="360"/>
        </w:sectPr>
      </w:pPr>
      <w:r>
        <w:rPr>
          <w:rStyle w:val="CharStyle11"/>
          <w:lang w:val="en-US" w:eastAsia="en-US"/>
        </w:rPr>
        <w:t xml:space="preserve">5. </w:t>
      </w:r>
      <w:r>
        <w:rPr>
          <w:rStyle w:val="CharStyle11"/>
        </w:rPr>
        <w:t xml:space="preserve">Согласно пункту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наименование объекта закупки, информацию (при наличии), предусмотренную правилами использования КТРУ, установленными 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Закона о контрактной системе установлено, что порядок формирования и ведения в ЕИС КТРУ,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Постановлением Правительства Российской Федерации от </w:t>
      </w:r>
      <w:r>
        <w:rPr>
          <w:rStyle w:val="CharStyle11"/>
          <w:lang w:val="en-US" w:eastAsia="en-US"/>
        </w:rPr>
        <w:t xml:space="preserve">08.02.2017 №145 </w:t>
      </w:r>
      <w:r>
        <w:rPr>
          <w:rStyle w:val="CharStyle11"/>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№145) </w:t>
      </w:r>
      <w:r>
        <w:rPr>
          <w:rStyle w:val="CharStyle11"/>
        </w:rPr>
        <w:t xml:space="preserve">утверждены Правила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Правила использования КТРУ).</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Пунктом </w:t>
      </w:r>
      <w:r>
        <w:rPr>
          <w:rStyle w:val="CharStyle11"/>
          <w:lang w:val="en-US" w:eastAsia="en-US"/>
        </w:rPr>
        <w:t xml:space="preserve">4 </w:t>
      </w:r>
      <w:r>
        <w:rPr>
          <w:rStyle w:val="CharStyle11"/>
        </w:rPr>
        <w:t xml:space="preserve">Правил использования КТРУ установлено, что заказчики обязаны применять информацию, включенную в позицию каталога в соответствии с подпунктами "а" </w:t>
      </w:r>
      <w:r>
        <w:rPr>
          <w:rStyle w:val="CharStyle11"/>
          <w:lang w:val="en-US" w:eastAsia="en-US"/>
        </w:rPr>
        <w:t xml:space="preserve">- </w:t>
      </w:r>
      <w:r>
        <w:rPr>
          <w:rStyle w:val="CharStyle11"/>
        </w:rPr>
        <w:t xml:space="preserve">"г" и "е" </w:t>
      </w:r>
      <w:r>
        <w:rPr>
          <w:rStyle w:val="CharStyle11"/>
          <w:lang w:val="en-US" w:eastAsia="en-US"/>
        </w:rPr>
        <w:t xml:space="preserve">- </w:t>
      </w:r>
      <w:r>
        <w:rPr>
          <w:rStyle w:val="CharStyle11"/>
        </w:rPr>
        <w:t xml:space="preserve">"з" пункта </w:t>
      </w:r>
      <w:r>
        <w:rPr>
          <w:rStyle w:val="CharStyle11"/>
          <w:lang w:val="en-US" w:eastAsia="en-US"/>
        </w:rPr>
        <w:t xml:space="preserve">10 </w:t>
      </w:r>
      <w:r>
        <w:rPr>
          <w:rStyle w:val="CharStyle11"/>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w:t>
      </w:r>
      <w:r>
        <w:rPr>
          <w:rStyle w:val="CharStyle11"/>
          <w:lang w:val="en-US" w:eastAsia="en-US"/>
        </w:rPr>
        <w:t xml:space="preserve">№145, </w:t>
      </w:r>
      <w:r>
        <w:rPr>
          <w:rStyle w:val="CharStyle11"/>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13"/>
        </w:numPr>
        <w:shd w:val="clear" w:color="auto" w:fill="auto"/>
        <w:tabs>
          <w:tab w:pos="991" w:val="left"/>
        </w:tabs>
        <w:bidi w:val="0"/>
        <w:spacing w:before="0" w:after="0" w:line="240" w:lineRule="auto"/>
        <w:ind w:left="0" w:right="0" w:firstLine="640"/>
        <w:jc w:val="both"/>
      </w:pPr>
      <w:r>
        <w:rPr>
          <w:rStyle w:val="CharStyle11"/>
        </w:rPr>
        <w:t>наименование товара, работы, услуги;</w:t>
      </w:r>
    </w:p>
    <w:p>
      <w:pPr>
        <w:pStyle w:val="Style10"/>
        <w:keepNext w:val="0"/>
        <w:keepLines w:val="0"/>
        <w:widowControl w:val="0"/>
        <w:numPr>
          <w:ilvl w:val="0"/>
          <w:numId w:val="13"/>
        </w:numPr>
        <w:shd w:val="clear" w:color="auto" w:fill="auto"/>
        <w:tabs>
          <w:tab w:pos="1037" w:val="left"/>
        </w:tabs>
        <w:bidi w:val="0"/>
        <w:spacing w:before="0" w:after="0" w:line="240" w:lineRule="auto"/>
        <w:ind w:left="0" w:right="0" w:firstLine="640"/>
        <w:jc w:val="both"/>
      </w:pPr>
      <w:r>
        <w:rPr>
          <w:rStyle w:val="CharStyle11"/>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13"/>
        </w:numPr>
        <w:shd w:val="clear" w:color="auto" w:fill="auto"/>
        <w:tabs>
          <w:tab w:pos="1006" w:val="left"/>
        </w:tabs>
        <w:bidi w:val="0"/>
        <w:spacing w:before="0" w:after="0" w:line="240" w:lineRule="auto"/>
        <w:ind w:left="0" w:right="0" w:firstLine="640"/>
        <w:jc w:val="both"/>
      </w:pPr>
      <w:r>
        <w:rPr>
          <w:rStyle w:val="CharStyle11"/>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Как установила Комиссия УФАС, описание объекта рассматриваемой закупки составлено Заказчиком в строгом соответствии с требованиями пункта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 Постановления </w:t>
      </w:r>
      <w:r>
        <w:rPr>
          <w:rStyle w:val="CharStyle11"/>
          <w:lang w:val="en-US" w:eastAsia="en-US"/>
        </w:rPr>
        <w:t xml:space="preserve">№145, </w:t>
      </w:r>
      <w:r>
        <w:rPr>
          <w:rStyle w:val="CharStyle11"/>
        </w:rPr>
        <w:t xml:space="preserve">то есть, с использованием характеристик, содержащихся в позиции КТРУ с кодом </w:t>
      </w:r>
      <w:r>
        <w:rPr>
          <w:rStyle w:val="CharStyle11"/>
          <w:lang w:val="en-US" w:eastAsia="en-US"/>
        </w:rPr>
        <w:t>26.60.12.132-00000036.</w:t>
      </w:r>
    </w:p>
    <w:p>
      <w:pPr>
        <w:pStyle w:val="Style10"/>
        <w:keepNext w:val="0"/>
        <w:keepLines w:val="0"/>
        <w:widowControl w:val="0"/>
        <w:shd w:val="clear" w:color="auto" w:fill="auto"/>
        <w:bidi w:val="0"/>
        <w:spacing w:before="0" w:after="0" w:line="240" w:lineRule="auto"/>
        <w:ind w:left="0" w:right="0" w:firstLine="640"/>
        <w:jc w:val="both"/>
      </w:pPr>
      <w:r>
        <w:rPr>
          <w:rStyle w:val="CharStyle11"/>
        </w:rPr>
        <w:t>Также Комиссия УФАС считает недопустимым требование Заявителя о включении в описание объекта закупки характеристик оборудования, внесённого в реестр радиоэлектронной продукции исключительно по критерию наличия российских производителей. Закон о контрактной системе не содержит специальной нормы, обязывающей Заказчика при наличии позиции в КТРУ отступать от её применения и ориентироваться на продукцию зарегистрированную в реестре радиоэлектронной продукции. Противоположный подход нарушал бы основополагающий принцип обязательности применения КТРУ и приводил бы к подмене единого подхода к формированию закупочной документации субъективным выбором Заказчика.</w:t>
      </w:r>
    </w:p>
    <w:p>
      <w:pPr>
        <w:pStyle w:val="Style10"/>
        <w:keepNext w:val="0"/>
        <w:keepLines w:val="0"/>
        <w:widowControl w:val="0"/>
        <w:shd w:val="clear" w:color="auto" w:fill="auto"/>
        <w:bidi w:val="0"/>
        <w:spacing w:before="0" w:after="0" w:line="271" w:lineRule="auto"/>
        <w:ind w:left="0" w:right="0" w:firstLine="640"/>
        <w:jc w:val="both"/>
        <w:rPr>
          <w:sz w:val="24"/>
          <w:szCs w:val="24"/>
        </w:rPr>
        <w:sectPr>
          <w:footnotePr>
            <w:pos w:val="pageBottom"/>
            <w:numFmt w:val="decimal"/>
            <w:numRestart w:val="continuous"/>
          </w:footnotePr>
          <w:pgSz w:w="11900" w:h="16840"/>
          <w:pgMar w:top="1666" w:right="771" w:bottom="802" w:left="1106" w:header="0" w:footer="3" w:gutter="0"/>
          <w:cols w:space="720"/>
          <w:noEndnote/>
          <w:rtlGutter w:val="0"/>
          <w:docGrid w:linePitch="360"/>
        </w:sectPr>
      </w:pPr>
      <w:r>
        <w:rPr>
          <w:rStyle w:val="CharStyle11"/>
        </w:rPr>
        <w:t xml:space="preserve">Согласно 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настоящего </w:t>
      </w:r>
      <w:r>
        <w:rPr>
          <w:rStyle w:val="CharStyle11"/>
          <w:sz w:val="24"/>
          <w:szCs w:val="24"/>
          <w:lang w:val="en-US" w:eastAsia="en-US"/>
        </w:rPr>
        <w:t>2026-1152</w:t>
      </w:r>
    </w:p>
    <w:p>
      <w:pPr>
        <w:pStyle w:val="Style10"/>
        <w:keepNext w:val="0"/>
        <w:keepLines w:val="0"/>
        <w:widowControl w:val="0"/>
        <w:shd w:val="clear" w:color="auto" w:fill="auto"/>
        <w:bidi w:val="0"/>
        <w:spacing w:before="0" w:after="0" w:line="240" w:lineRule="auto"/>
        <w:ind w:left="0" w:right="0" w:firstLine="0"/>
        <w:jc w:val="left"/>
      </w:pPr>
      <w:r>
        <w:rPr>
          <w:rStyle w:val="CharStyle11"/>
        </w:rPr>
        <w:t xml:space="preserve">Федерального закона </w:t>
      </w:r>
      <w:r>
        <w:rPr>
          <w:rStyle w:val="CharStyle11"/>
          <w:u w:val="single"/>
        </w:rPr>
        <w:t>запрет</w:t>
      </w:r>
      <w:r>
        <w:rPr>
          <w:rStyle w:val="CharStyle11"/>
        </w:rPr>
        <w:t xml:space="preserve">, </w:t>
      </w:r>
      <w:r>
        <w:rPr>
          <w:rStyle w:val="CharStyle11"/>
          <w:u w:val="single"/>
        </w:rPr>
        <w:t>ограничение</w:t>
      </w:r>
      <w:r>
        <w:rPr>
          <w:rStyle w:val="CharStyle11"/>
        </w:rPr>
        <w:t xml:space="preserve"> или </w:t>
      </w:r>
      <w:r>
        <w:rPr>
          <w:rStyle w:val="CharStyle11"/>
          <w:u w:val="single"/>
        </w:rPr>
        <w:t>преимущество</w:t>
      </w:r>
      <w:r>
        <w:rPr>
          <w:rStyle w:val="CharStyle11"/>
        </w:rPr>
        <w:t xml:space="preserve">, </w:t>
      </w:r>
      <w:r>
        <w:rPr>
          <w:rStyle w:val="CharStyle11"/>
          <w:b/>
          <w:bCs/>
        </w:rPr>
        <w:t>указываются характеристики товара российского происхождения</w:t>
      </w:r>
      <w:r>
        <w:rPr>
          <w:rStyle w:val="CharStyle11"/>
        </w:rPr>
        <w:t>.</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По мнению Комиссии УФАС, аналитическая таблица, представленная Заказчиком в качестве Приложения к Возражению на жалобу Заявителя приведенная ниже, наглядно указывает на то, что указанные в Извещении характеристики закупаемого товара соответствуют как минимум одному товару российского производства:</w:t>
      </w:r>
    </w:p>
    <w:p>
      <w:pPr>
        <w:pStyle w:val="Style8"/>
        <w:keepNext w:val="0"/>
        <w:keepLines w:val="0"/>
        <w:widowControl w:val="0"/>
        <w:shd w:val="clear" w:color="auto" w:fill="auto"/>
        <w:bidi w:val="0"/>
        <w:spacing w:before="0" w:after="0" w:line="240" w:lineRule="auto"/>
        <w:ind w:left="0" w:right="160" w:firstLine="0"/>
        <w:jc w:val="right"/>
        <w:rPr>
          <w:sz w:val="20"/>
          <w:szCs w:val="20"/>
        </w:rPr>
      </w:pPr>
      <w:r>
        <w:rPr>
          <w:rStyle w:val="CharStyle9"/>
          <w:i/>
          <w:iCs/>
          <w:color w:val="000000"/>
          <w:sz w:val="20"/>
          <w:szCs w:val="20"/>
        </w:rPr>
        <w:t>Приложение к возражению на жалобу ИП Кравченко А.В</w:t>
      </w:r>
    </w:p>
    <w:p>
      <w:pPr>
        <w:pStyle w:val="Style8"/>
        <w:keepNext w:val="0"/>
        <w:keepLines w:val="0"/>
        <w:widowControl w:val="0"/>
        <w:shd w:val="clear" w:color="auto" w:fill="auto"/>
        <w:bidi w:val="0"/>
        <w:spacing w:before="0" w:after="200" w:line="240" w:lineRule="auto"/>
        <w:ind w:left="0" w:right="160" w:firstLine="0"/>
        <w:jc w:val="right"/>
        <w:rPr>
          <w:sz w:val="20"/>
          <w:szCs w:val="20"/>
        </w:rPr>
      </w:pPr>
      <w:r>
        <w:rPr>
          <w:rStyle w:val="CharStyle9"/>
          <w:i/>
          <w:iCs/>
          <w:color w:val="000000"/>
          <w:sz w:val="20"/>
          <w:szCs w:val="20"/>
        </w:rPr>
        <w:t xml:space="preserve">на электронный аукцион (извещение </w:t>
      </w:r>
      <w:r>
        <w:rPr>
          <w:rStyle w:val="CharStyle9"/>
          <w:i/>
          <w:iCs/>
          <w:color w:val="000000"/>
          <w:sz w:val="20"/>
          <w:szCs w:val="20"/>
          <w:lang w:val="en-US" w:eastAsia="en-US"/>
        </w:rPr>
        <w:t>№ 0176200005526000934)</w:t>
      </w:r>
    </w:p>
    <w:p>
      <w:pPr>
        <w:pStyle w:val="Style14"/>
        <w:keepNext w:val="0"/>
        <w:keepLines w:val="0"/>
        <w:widowControl w:val="0"/>
        <w:shd w:val="clear" w:color="auto" w:fill="auto"/>
        <w:bidi w:val="0"/>
        <w:spacing w:before="0" w:after="240" w:line="240" w:lineRule="auto"/>
        <w:ind w:left="0" w:right="0" w:firstLine="0"/>
        <w:jc w:val="center"/>
        <w:rPr>
          <w:sz w:val="22"/>
          <w:szCs w:val="22"/>
        </w:rPr>
      </w:pPr>
      <w:r>
        <w:rPr>
          <w:rStyle w:val="CharStyle15"/>
          <w:sz w:val="22"/>
          <w:szCs w:val="22"/>
        </w:rPr>
        <w:t>СРАВНИТЕЛЬНАЯ ТАБЛИЦА СИСТЕМ УЛЬТРАЗВУКОВОЙ ВИЗУАЛИЗАЦИИ</w:t>
      </w:r>
    </w:p>
    <w:tbl>
      <w:tblPr>
        <w:tblOverlap w:val="never"/>
        <w:jc w:val="center"/>
        <w:tblLayout w:type="fixed"/>
      </w:tblPr>
      <w:tblGrid>
        <w:gridCol w:w="3331"/>
        <w:gridCol w:w="3624"/>
        <w:gridCol w:w="1733"/>
        <w:gridCol w:w="1579"/>
      </w:tblGrid>
      <w:tr>
        <w:trPr>
          <w:trHeight w:val="475"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40"/>
              <w:jc w:val="left"/>
              <w:rPr>
                <w:sz w:val="20"/>
                <w:szCs w:val="20"/>
              </w:rPr>
            </w:pPr>
            <w:r>
              <w:rPr>
                <w:rStyle w:val="CharStyle15"/>
                <w:b/>
                <w:bCs/>
                <w:sz w:val="20"/>
                <w:szCs w:val="20"/>
              </w:rPr>
              <w:t>Наименование характеристики</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b/>
                <w:bCs/>
                <w:sz w:val="20"/>
                <w:szCs w:val="20"/>
              </w:rPr>
              <w:t>Значение характеристики (в соответствии с Извещением)</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b/>
                <w:bCs/>
                <w:sz w:val="20"/>
                <w:szCs w:val="20"/>
                <w:lang w:val="en-US" w:eastAsia="en-US"/>
              </w:rPr>
              <w:t>Mindray Consona N7P</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b/>
                <w:bCs/>
                <w:sz w:val="20"/>
                <w:szCs w:val="20"/>
                <w:lang w:val="en-US" w:eastAsia="en-US"/>
              </w:rPr>
              <w:t>GE Logiq P10</w:t>
            </w:r>
          </w:p>
        </w:tc>
      </w:tr>
      <w:tr>
        <w:trPr>
          <w:trHeight w:val="470"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Страна происхождения</w:t>
            </w:r>
          </w:p>
        </w:tc>
        <w:tc>
          <w:tcPr>
            <w:tcBorders>
              <w:top w:val="single" w:sz="4"/>
              <w:left w:val="single" w:sz="4"/>
            </w:tcBorders>
            <w:shd w:val="clear" w:color="auto" w:fill="D9D9D9"/>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Российская Федерация</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Корея</w:t>
            </w:r>
          </w:p>
        </w:tc>
      </w:tr>
      <w:tr>
        <w:trPr>
          <w:trHeight w:val="47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Номер реестровой записи в Реестре промышленной продукции РФ</w:t>
            </w:r>
          </w:p>
        </w:tc>
        <w:tc>
          <w:tcPr>
            <w:tcBorders>
              <w:top w:val="single" w:sz="4"/>
              <w:left w:val="single" w:sz="4"/>
            </w:tcBorders>
            <w:shd w:val="clear" w:color="auto" w:fill="D9D9D9"/>
            <w:vAlign w:val="top"/>
          </w:tcPr>
          <w:p>
            <w:pPr>
              <w:widowControl w:val="0"/>
              <w:rPr>
                <w:sz w:val="10"/>
                <w:szCs w:val="10"/>
              </w:rPr>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10624841</w:t>
            </w:r>
          </w:p>
        </w:tc>
        <w:tc>
          <w:tcPr>
            <w:tcBorders>
              <w:top w:val="single" w:sz="4"/>
              <w:left w:val="single" w:sz="4"/>
              <w:right w:val="single" w:sz="4"/>
            </w:tcBorders>
            <w:shd w:val="clear" w:color="auto" w:fill="auto"/>
            <w:vAlign w:val="top"/>
          </w:tcPr>
          <w:p>
            <w:pPr>
              <w:widowControl w:val="0"/>
              <w:rPr>
                <w:sz w:val="10"/>
                <w:szCs w:val="10"/>
              </w:rPr>
            </w:pPr>
          </w:p>
        </w:tc>
      </w:tr>
      <w:tr>
        <w:trPr>
          <w:trHeight w:val="47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Номер регистрационного</w:t>
            </w:r>
          </w:p>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удостоверения медицинского изделия</w:t>
            </w:r>
          </w:p>
        </w:tc>
        <w:tc>
          <w:tcPr>
            <w:tcBorders>
              <w:top w:val="single" w:sz="4"/>
              <w:left w:val="single" w:sz="4"/>
            </w:tcBorders>
            <w:shd w:val="clear" w:color="auto" w:fill="D9D9D9"/>
            <w:vAlign w:val="top"/>
          </w:tcPr>
          <w:p>
            <w:pPr>
              <w:widowControl w:val="0"/>
              <w:rPr>
                <w:sz w:val="10"/>
                <w:szCs w:val="10"/>
              </w:rPr>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РЗН </w:t>
            </w:r>
            <w:r>
              <w:rPr>
                <w:rStyle w:val="CharStyle15"/>
                <w:sz w:val="20"/>
                <w:szCs w:val="20"/>
                <w:lang w:val="en-US" w:eastAsia="en-US"/>
              </w:rPr>
              <w:t>2024/23835</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РЗН </w:t>
            </w:r>
            <w:r>
              <w:rPr>
                <w:rStyle w:val="CharStyle15"/>
                <w:sz w:val="20"/>
                <w:szCs w:val="20"/>
                <w:lang w:val="en-US" w:eastAsia="en-US"/>
              </w:rPr>
              <w:t>2016/4247</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Количество портов для подключения датчиков (без порта для карандашного датчика), шт.</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xml:space="preserve">≥ 4 </w:t>
            </w:r>
            <w:r>
              <w:rPr>
                <w:rStyle w:val="CharStyle15"/>
                <w:sz w:val="20"/>
                <w:szCs w:val="20"/>
              </w:rPr>
              <w:t>(для стационарного)</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5</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4</w:t>
            </w:r>
          </w:p>
        </w:tc>
      </w:tr>
      <w:tr>
        <w:trPr>
          <w:trHeight w:val="70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Конструктивное исполнение</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Стационарный, без отделения колесной базы</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Стационарный, без отделения колесной базы</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Стационарный, без отделения колесной базы</w:t>
            </w:r>
          </w:p>
        </w:tc>
      </w:tr>
      <w:tr>
        <w:trPr>
          <w:trHeight w:val="245"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Пакеты программ и расчетов</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Ангиология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Абдоминальные исследования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Неонатология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3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Эндокринология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5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Маммология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Акушерство</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Гинекология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3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Кардиология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Урология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Поверхностные органы</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Педиатрия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Скелетно-мышечные системы</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3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Диагональ экрана, дюйм</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xml:space="preserve">≥ 21 </w:t>
            </w:r>
            <w:r>
              <w:rPr>
                <w:rStyle w:val="CharStyle15"/>
                <w:sz w:val="20"/>
                <w:szCs w:val="20"/>
              </w:rPr>
              <w:t>(для стационарного)</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21.5</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23,8</w:t>
            </w:r>
          </w:p>
        </w:tc>
      </w:tr>
      <w:tr>
        <w:trPr>
          <w:trHeight w:val="48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Сенсорная панель управления (для стационарного и лаптопа)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470"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Регулировка панели управления</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 вертикальной плоскости</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 вертикальной плоскости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 вертикальной плоскости</w:t>
            </w:r>
          </w:p>
        </w:tc>
      </w:tr>
      <w:tr>
        <w:trPr>
          <w:trHeight w:val="701" w:hRule="exact"/>
        </w:trPr>
        <w:tc>
          <w:tcPr>
            <w:vMerge/>
            <w:tcBorders>
              <w:left w:val="single" w:sz="4"/>
            </w:tcBorders>
            <w:shd w:val="clear" w:color="auto" w:fill="auto"/>
            <w:vAlign w:val="top"/>
          </w:tcPr>
          <w:p>
            <w:pP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 горизонтальной плоскости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 горизонтальной плоскости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 горизонтальной плоскости</w:t>
            </w:r>
          </w:p>
        </w:tc>
      </w:tr>
      <w:tr>
        <w:trPr>
          <w:trHeight w:val="24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Функциональная клавиатура</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23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Подогреватель геля</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Изменение параметров визуализации (постпроцессинг) на замороженном изображении</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480"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Определение параметров, варианты проведения расчетов</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Во время исследований</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Во время исследований</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Во время исследований</w:t>
            </w:r>
          </w:p>
        </w:tc>
      </w:tr>
      <w:tr>
        <w:trPr>
          <w:trHeight w:val="475"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Из памяти кинопетли</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40" w:lineRule="auto"/>
              <w:ind w:left="420" w:right="0" w:firstLine="60"/>
              <w:jc w:val="left"/>
              <w:rPr>
                <w:sz w:val="20"/>
                <w:szCs w:val="20"/>
              </w:rPr>
            </w:pPr>
            <w:r>
              <w:rPr>
                <w:rStyle w:val="CharStyle15"/>
                <w:sz w:val="20"/>
                <w:szCs w:val="20"/>
              </w:rPr>
              <w:t>Из памяти кинопетли</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Из памяти кинопетли</w:t>
            </w:r>
          </w:p>
        </w:tc>
      </w:tr>
    </w:tbl>
    <w:p>
      <w:pPr>
        <w:spacing w:lineRule="exact" w:line="1"/>
        <w:rPr>
          <w:sz w:val="2"/>
          <w:szCs w:val="2"/>
        </w:rPr>
      </w:pPr>
      <w:r>
        <w:br w:type="page"/>
      </w:r>
    </w:p>
    <w:tbl>
      <w:tblPr>
        <w:tblOverlap w:val="never"/>
        <w:jc w:val="center"/>
        <w:tblLayout w:type="fixed"/>
      </w:tblPr>
      <w:tblGrid>
        <w:gridCol w:w="3331"/>
        <w:gridCol w:w="3624"/>
        <w:gridCol w:w="1733"/>
        <w:gridCol w:w="1579"/>
      </w:tblGrid>
      <w:tr>
        <w:trPr>
          <w:trHeight w:val="47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Из сохраненных файлов</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Из сохраненных файлов</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Из сохраненных файлов</w:t>
            </w:r>
          </w:p>
        </w:tc>
      </w:tr>
      <w:tr>
        <w:trPr>
          <w:trHeight w:val="7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Архивация изображений на встроенный жесткий диск или твердотельный накопитель</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46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Архивация изображений на внешние носители, через порт </w:t>
            </w:r>
            <w:r>
              <w:rPr>
                <w:rStyle w:val="CharStyle15"/>
                <w:sz w:val="20"/>
                <w:szCs w:val="20"/>
                <w:lang w:val="en-US" w:eastAsia="en-US"/>
              </w:rPr>
              <w:t>USB</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24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Порт ввода ЭКГ-сигнала</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94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Кабель ЭКГ и(или) кабель сопряжения с ЭКГ-сигналом (при наличии параметра Порт ввода ЭКГ- сигнала)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Технология поддержки режима совмещенной визуализации с данными КТ или МРТ</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24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Датчик линейный </w:t>
            </w:r>
            <w:r>
              <w:rPr>
                <w:rStyle w:val="CharStyle15"/>
                <w:sz w:val="20"/>
                <w:szCs w:val="20"/>
                <w:lang w:val="en-US" w:eastAsia="en-US"/>
              </w:rPr>
              <w:t>№1</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Мультичастотная технология датчика (Доступно только при выборе Датчик линейный </w:t>
            </w:r>
            <w:r>
              <w:rPr>
                <w:rStyle w:val="CharStyle15"/>
                <w:sz w:val="20"/>
                <w:szCs w:val="20"/>
                <w:lang w:val="en-US" w:eastAsia="en-US"/>
              </w:rPr>
              <w:t xml:space="preserve">№1-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Минимальная частота сканирования (Доступно только при выборе Датчик линейный </w:t>
            </w:r>
            <w:r>
              <w:rPr>
                <w:rStyle w:val="CharStyle15"/>
                <w:sz w:val="20"/>
                <w:szCs w:val="20"/>
                <w:lang w:val="en-US" w:eastAsia="en-US"/>
              </w:rPr>
              <w:t xml:space="preserve">№1 - </w:t>
            </w:r>
            <w:r>
              <w:rPr>
                <w:rStyle w:val="CharStyle15"/>
                <w:sz w:val="20"/>
                <w:szCs w:val="20"/>
              </w:rPr>
              <w:t>Да), Мегагерц</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4</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3.0</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3</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Максимальная частота сканирования (Доступно только при выборе Датчик линейный </w:t>
            </w:r>
            <w:r>
              <w:rPr>
                <w:rStyle w:val="CharStyle15"/>
                <w:sz w:val="20"/>
                <w:szCs w:val="20"/>
                <w:lang w:val="en-US" w:eastAsia="en-US"/>
              </w:rPr>
              <w:t xml:space="preserve">№1 - </w:t>
            </w:r>
            <w:r>
              <w:rPr>
                <w:rStyle w:val="CharStyle15"/>
                <w:sz w:val="20"/>
                <w:szCs w:val="20"/>
              </w:rPr>
              <w:t>Да), Мегагерц</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12</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13</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12</w:t>
            </w:r>
          </w:p>
        </w:tc>
      </w:tr>
      <w:tr>
        <w:trPr>
          <w:trHeight w:val="93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Апертура (максимальный размер сканирующей поверхности), мм (Доступно только при выборе Датчик линейный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27 - 46</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44,2</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38</w:t>
            </w:r>
          </w:p>
        </w:tc>
      </w:tr>
      <w:tr>
        <w:trPr>
          <w:trHeight w:val="70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Режим сканирования </w:t>
            </w:r>
            <w:r>
              <w:rPr>
                <w:rStyle w:val="CharStyle15"/>
                <w:sz w:val="20"/>
                <w:szCs w:val="20"/>
                <w:lang w:val="en-US" w:eastAsia="en-US"/>
              </w:rPr>
              <w:t xml:space="preserve">3D </w:t>
            </w:r>
            <w:r>
              <w:rPr>
                <w:rStyle w:val="CharStyle15"/>
                <w:sz w:val="20"/>
                <w:szCs w:val="20"/>
              </w:rPr>
              <w:t xml:space="preserve">(Доступно только при выборе Датчик линейный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Биопсийная насадка (Доступно только при выборе Датчик линейный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 (одноразовая или многоразовая)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 (многоразовая)</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475"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Функции активные на датчике </w:t>
            </w:r>
            <w:r>
              <w:rPr>
                <w:rStyle w:val="CharStyle15"/>
                <w:sz w:val="20"/>
                <w:szCs w:val="20"/>
                <w:lang w:val="en-US" w:eastAsia="en-US"/>
              </w:rPr>
              <w:t xml:space="preserve">- </w:t>
            </w:r>
            <w:r>
              <w:rPr>
                <w:rStyle w:val="CharStyle15"/>
                <w:sz w:val="20"/>
                <w:szCs w:val="20"/>
              </w:rPr>
              <w:t xml:space="preserve">(Доступно только при выборе Датчик линейный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Микродопплер (Микрососудистая визуализация)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Автоматическое определение толщины комплекса интима-медиа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23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Эластография компрессионная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8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для улучшенной визуализации биопсийной иглы</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24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 xml:space="preserve">Датчик конвексный </w:t>
            </w:r>
            <w:r>
              <w:rPr>
                <w:rStyle w:val="CharStyle15"/>
                <w:sz w:val="20"/>
                <w:szCs w:val="20"/>
                <w:lang w:val="en-US" w:eastAsia="en-US"/>
              </w:rPr>
              <w:t>№1</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 xml:space="preserve">Мультичастотная технология датчика (Доступно 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0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 xml:space="preserve">Минимальная частота сканирования (МГц) (Доступно 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2</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1.2</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 xml:space="preserve">Максимальная частота сканирования (МГц) (Доступно 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6</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6.0</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6</w:t>
            </w:r>
          </w:p>
        </w:tc>
      </w:tr>
      <w:tr>
        <w:trPr>
          <w:trHeight w:val="70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 xml:space="preserve">Угол сканирования (град) (Доступно 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70</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74</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70</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 xml:space="preserve">Режим сканирования </w:t>
            </w:r>
            <w:r>
              <w:rPr>
                <w:rStyle w:val="CharStyle15"/>
                <w:sz w:val="20"/>
                <w:szCs w:val="20"/>
                <w:lang w:val="en-US" w:eastAsia="en-US"/>
              </w:rPr>
              <w:t xml:space="preserve">3D </w:t>
            </w:r>
            <w:r>
              <w:rPr>
                <w:rStyle w:val="CharStyle15"/>
                <w:sz w:val="20"/>
                <w:szCs w:val="20"/>
              </w:rPr>
              <w:t xml:space="preserve">(Доступно 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245"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rPr>
                <w:sz w:val="20"/>
                <w:szCs w:val="20"/>
              </w:rPr>
            </w:pPr>
            <w:r>
              <w:rPr>
                <w:rStyle w:val="CharStyle15"/>
                <w:sz w:val="20"/>
                <w:szCs w:val="20"/>
              </w:rPr>
              <w:t>Биопсийная насадка (Доступно</w:t>
            </w:r>
          </w:p>
        </w:tc>
        <w:tc>
          <w:tcPr>
            <w:tcBorders>
              <w:top w:val="single" w:sz="4"/>
              <w:left w:val="single" w:sz="4"/>
              <w:bottom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 (одноразовая или многоразовая)</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 (многоразовая)</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bl>
    <w:p>
      <w:pPr>
        <w:spacing w:lineRule="exact" w:line="1"/>
        <w:rPr>
          <w:sz w:val="2"/>
          <w:szCs w:val="2"/>
        </w:rPr>
      </w:pPr>
      <w:r>
        <w:br w:type="page"/>
      </w:r>
    </w:p>
    <w:tbl>
      <w:tblPr>
        <w:tblOverlap w:val="never"/>
        <w:jc w:val="center"/>
        <w:tblLayout w:type="fixed"/>
      </w:tblPr>
      <w:tblGrid>
        <w:gridCol w:w="3331"/>
        <w:gridCol w:w="3624"/>
        <w:gridCol w:w="1733"/>
        <w:gridCol w:w="1579"/>
      </w:tblGrid>
      <w:tr>
        <w:trPr>
          <w:trHeight w:val="47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40"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Функции активные на датчике (Доступно только при выборе Датчик конвексный </w:t>
            </w:r>
            <w:r>
              <w:rPr>
                <w:rStyle w:val="CharStyle15"/>
                <w:sz w:val="20"/>
                <w:szCs w:val="20"/>
                <w:lang w:val="en-US" w:eastAsia="en-US"/>
              </w:rPr>
              <w:t xml:space="preserve">№1 - </w:t>
            </w:r>
            <w:r>
              <w:rPr>
                <w:rStyle w:val="CharStyle15"/>
                <w:sz w:val="20"/>
                <w:szCs w:val="20"/>
              </w:rPr>
              <w:t>Да)</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Количественный анализ стеатоза печени</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47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для улучшенной визуализации биопсийной иглы</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Микродопплер (Микрососудистая визуализация)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35"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Датчик микроконвексный </w:t>
            </w:r>
            <w:r>
              <w:rPr>
                <w:rStyle w:val="CharStyle15"/>
                <w:sz w:val="20"/>
                <w:szCs w:val="20"/>
                <w:lang w:val="en-US" w:eastAsia="en-US"/>
              </w:rPr>
              <w:t>№2</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Мультичастотная технология датчика (Доступно только при выборе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69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Минимальная частота сканирования (МГц) (Доступно только при выборе Датчик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3</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3.0</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3</w:t>
            </w:r>
          </w:p>
        </w:tc>
      </w:tr>
      <w:tr>
        <w:trPr>
          <w:trHeight w:val="7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Максимальная частота сканирования (МГц) (Доступно только при выборе Датчик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11</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12</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11</w:t>
            </w:r>
          </w:p>
        </w:tc>
      </w:tr>
      <w:tr>
        <w:trPr>
          <w:trHeight w:val="70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Угол сканирования (град) (Доступно только при выборе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 140</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243</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lang w:val="en-US" w:eastAsia="en-US"/>
              </w:rPr>
              <w:t>168</w:t>
            </w:r>
          </w:p>
        </w:tc>
      </w:tr>
      <w:tr>
        <w:trPr>
          <w:trHeight w:val="93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Область применения (Доступно только при выборе Датчик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Внутриполостной ректовагинальный</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Внутриполостной ректовагинальный</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Внутриполостно й ректовагинальны й</w:t>
            </w:r>
          </w:p>
        </w:tc>
      </w:tr>
      <w:tr>
        <w:trPr>
          <w:trHeight w:val="69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Режим сканирования </w:t>
            </w:r>
            <w:r>
              <w:rPr>
                <w:rStyle w:val="CharStyle15"/>
                <w:sz w:val="20"/>
                <w:szCs w:val="20"/>
                <w:lang w:val="en-US" w:eastAsia="en-US"/>
              </w:rPr>
              <w:t xml:space="preserve">3D </w:t>
            </w:r>
            <w:r>
              <w:rPr>
                <w:rStyle w:val="CharStyle15"/>
                <w:sz w:val="20"/>
                <w:szCs w:val="20"/>
              </w:rPr>
              <w:t xml:space="preserve">(Доступно только при выборе Датчик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7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 xml:space="preserve">Биопсийная насадка (Доступно только при выборе Датчик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 (одноразовая или многоразовая)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rPr>
                <w:sz w:val="20"/>
                <w:szCs w:val="20"/>
              </w:rPr>
            </w:pPr>
            <w:r>
              <w:rPr>
                <w:rStyle w:val="CharStyle15"/>
                <w:sz w:val="20"/>
                <w:szCs w:val="20"/>
              </w:rPr>
              <w:t>Да (многоразовая)</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Да</w:t>
            </w:r>
          </w:p>
        </w:tc>
      </w:tr>
      <w:tr>
        <w:trPr>
          <w:trHeight w:val="470" w:hRule="exact"/>
        </w:trPr>
        <w:tc>
          <w:tcPr>
            <w:vMerge w:val="restart"/>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Функции активные на датчике датчике (Доступно только при выборе Датчик микроконвексный </w:t>
            </w:r>
            <w:r>
              <w:rPr>
                <w:rStyle w:val="CharStyle15"/>
                <w:sz w:val="20"/>
                <w:szCs w:val="20"/>
                <w:lang w:val="en-US" w:eastAsia="en-US"/>
              </w:rPr>
              <w:t xml:space="preserve">№2 - </w:t>
            </w:r>
            <w:r>
              <w:rPr>
                <w:rStyle w:val="CharStyle15"/>
                <w:sz w:val="20"/>
                <w:szCs w:val="20"/>
              </w:rPr>
              <w:t>Да)</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Микродопплер (Микрососудистая визуализация)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461" w:hRule="exact"/>
        </w:trPr>
        <w:tc>
          <w:tcPr>
            <w:vMerge/>
            <w:tcBorders>
              <w:left w:val="single" w:sz="4"/>
            </w:tcBorders>
            <w:shd w:val="clear" w:color="auto" w:fill="auto"/>
            <w:vAlign w:val="bottom"/>
          </w:tcPr>
          <w:p>
            <w:pP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Эластография компрессионная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931"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Специализированные режимы визуализации, пакеты программ и расчетов для оценки сердца (взрослых, детей, новорожденных)</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синхронизации ультразвукового изображения с сигналом ЭКГ</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701"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Специализированные режимы визуализации, пакеты программ и расчетов для ангиологии</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Режим картирования сосудистого русла с высоким пространственно-временным разрешением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48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Автоматическое определение толщины комплекса интима-медиа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3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Панорамное сканирование</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941"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Автоматическая трассировка допплеровского спектра и автоматическое определение параметров кровотока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Специализированные режимы визуализации, пакеты программ и расчетов для общих исследований</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Оценка микроваскуляризации</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Режим улучшенной визуализации биопсийной иглы</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3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Компрессионная эластография</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71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Количественная оценка относительной жесткости тканей при компрессионной эластографии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24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Количественный анализ стеатоза печени</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r>
        <w:trPr>
          <w:trHeight w:val="706"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Специализированные режимы визуализации, пакеты программ и расчетов для акушерства и</w:t>
            </w:r>
          </w:p>
        </w:tc>
        <w:tc>
          <w:tcPr>
            <w:tcBorders>
              <w:top w:val="single" w:sz="4"/>
              <w:left w:val="single" w:sz="4"/>
              <w:bottom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автоматического определения основных фетометрических показателей</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r>
    </w:tbl>
    <w:p>
      <w:pPr>
        <w:spacing w:lineRule="exact" w:line="1"/>
        <w:rPr>
          <w:sz w:val="2"/>
          <w:szCs w:val="2"/>
        </w:rPr>
      </w:pPr>
      <w:r>
        <w:br w:type="page"/>
      </w:r>
    </w:p>
    <w:tbl>
      <w:tblPr>
        <w:tblOverlap w:val="never"/>
        <w:jc w:val="center"/>
        <w:tblLayout w:type="fixed"/>
      </w:tblPr>
      <w:tblGrid>
        <w:gridCol w:w="3331"/>
        <w:gridCol w:w="3624"/>
        <w:gridCol w:w="1733"/>
        <w:gridCol w:w="1579"/>
      </w:tblGrid>
      <w:tr>
        <w:trPr>
          <w:trHeight w:val="701"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гинекологии (органов малого таза) </w:t>
            </w:r>
            <w:r>
              <w:rPr>
                <w:rStyle w:val="CharStyle15"/>
                <w:sz w:val="20"/>
                <w:szCs w:val="20"/>
                <w:lang w:val="en-US" w:eastAsia="en-US"/>
              </w:rPr>
              <w:t xml:space="preserve">- </w:t>
            </w:r>
            <w:r>
              <w:rPr>
                <w:rStyle w:val="CharStyle15"/>
                <w:sz w:val="20"/>
                <w:szCs w:val="20"/>
              </w:rPr>
              <w:t>программы для использования с объемными датчиками</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автоматического измерения толщины воротникового пространства плода в двумерном изображении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71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для оценки индекса производительности миокарда сердца плода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696"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Специализированные режимы визуализации, пакеты программ и расчетов для педиатрии</w:t>
            </w:r>
          </w:p>
        </w:tc>
        <w:tc>
          <w:tcPr>
            <w:tcBorders>
              <w:top w:val="single" w:sz="4"/>
              <w:left w:val="single" w:sz="4"/>
            </w:tcBorders>
            <w:shd w:val="clear" w:color="auto" w:fill="D9D9D9"/>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Предустановки визуализации для проведения нейросонографии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5"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Сервисные функции</w:t>
            </w: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Предварительные установки, в том числе задаваемые пользователем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Программирование пользовательских протоколов</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Конфигуратор отчетов с возможностью редактирования и экспорта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71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Составление отчетов на русском языке с возможностью добавления изображений и комментариев</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23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Архив пациентов с поиском</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Регулировка скорости просмотра кинопетли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Печать изображений на черно-белый или цветной видеопринтер</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706"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Автоматическая оптимизация В- изображения с подавлением спекл- шумов</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701"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Автоматическая оптимизация В- изображения по скорости звука в тканях или по акустическим свойствам тканей</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Автоматическая оптимизация допплеровского изображения</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0"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Программа обмена данными по протоколу </w:t>
            </w:r>
            <w:r>
              <w:rPr>
                <w:rStyle w:val="CharStyle15"/>
                <w:sz w:val="20"/>
                <w:szCs w:val="20"/>
                <w:lang w:val="en-US" w:eastAsia="en-US"/>
              </w:rPr>
              <w:t>DICOM</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Запись кадров и кинопетель в формате </w:t>
            </w:r>
            <w:r>
              <w:rPr>
                <w:rStyle w:val="CharStyle15"/>
                <w:sz w:val="20"/>
                <w:szCs w:val="20"/>
                <w:lang w:val="en-US" w:eastAsia="en-US"/>
              </w:rPr>
              <w:t>DICOM</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475"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Запись кадров и кинопетель в форматах, совместимых с ПК</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701" w:hRule="exact"/>
        </w:trPr>
        <w:tc>
          <w:tcPr>
            <w:vMerge/>
            <w:tcBorders>
              <w:left w:val="single" w:sz="4"/>
            </w:tcBorders>
            <w:shd w:val="clear" w:color="auto" w:fill="auto"/>
            <w:vAlign w:val="top"/>
          </w:tcPr>
          <w:p>
            <w:pPr/>
          </w:p>
        </w:tc>
        <w:tc>
          <w:tcPr>
            <w:tcBorders>
              <w:top w:val="single" w:sz="4"/>
              <w:left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 xml:space="preserve">Архивация изображений на встроенный накопитель и (или) на внешние носители через порт </w:t>
            </w:r>
            <w:r>
              <w:rPr>
                <w:rStyle w:val="CharStyle15"/>
                <w:sz w:val="20"/>
                <w:szCs w:val="20"/>
                <w:lang w:val="en-US" w:eastAsia="en-US"/>
              </w:rPr>
              <w:t>USB</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r>
        <w:trPr>
          <w:trHeight w:val="941"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D9D9D9"/>
            <w:vAlign w:val="bottom"/>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Программа для просмотра ультразвуковых изображений и (или) проведения измерений на внешней рабочей станции</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rPr>
                <w:sz w:val="20"/>
                <w:szCs w:val="20"/>
              </w:rPr>
            </w:pPr>
            <w:r>
              <w:rPr>
                <w:rStyle w:val="CharStyle15"/>
                <w:sz w:val="20"/>
                <w:szCs w:val="20"/>
              </w:rPr>
              <w:t>Наличие</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420"/>
              <w:jc w:val="left"/>
              <w:rPr>
                <w:sz w:val="20"/>
                <w:szCs w:val="20"/>
              </w:rPr>
            </w:pPr>
            <w:r>
              <w:rPr>
                <w:rStyle w:val="CharStyle15"/>
                <w:sz w:val="20"/>
                <w:szCs w:val="20"/>
              </w:rPr>
              <w:t>Наличие</w:t>
            </w:r>
          </w:p>
        </w:tc>
      </w:tr>
    </w:tbl>
    <w:p>
      <w:pPr>
        <w:widowControl w:val="0"/>
        <w:spacing w:after="279" w:line="1" w:lineRule="exact"/>
      </w:pPr>
    </w:p>
    <w:p>
      <w:pPr>
        <w:pStyle w:val="Style10"/>
        <w:keepNext w:val="0"/>
        <w:keepLines w:val="0"/>
        <w:widowControl w:val="0"/>
        <w:shd w:val="clear" w:color="auto" w:fill="auto"/>
        <w:bidi w:val="0"/>
        <w:spacing w:before="0" w:after="200" w:line="240" w:lineRule="auto"/>
        <w:ind w:left="0" w:right="0" w:firstLine="720"/>
        <w:jc w:val="both"/>
      </w:pPr>
      <w:r>
        <w:rPr>
          <w:rStyle w:val="CharStyle11"/>
        </w:rPr>
        <w:t xml:space="preserve">Таким образом, исходя из вышеуказанного, довод о несоответствии характеристик, указанных в Извещении, оборудованию российского производства признается </w:t>
      </w:r>
      <w:r>
        <w:rPr>
          <w:rStyle w:val="CharStyle11"/>
          <w:b/>
          <w:bCs/>
        </w:rPr>
        <w:t>необоснованным</w:t>
      </w:r>
      <w:r>
        <w:rPr>
          <w:rStyle w:val="CharStyle11"/>
        </w:rPr>
        <w:t>.</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6-8. </w:t>
      </w:r>
      <w:r>
        <w:rPr>
          <w:rStyle w:val="CharStyle11"/>
        </w:rPr>
        <w:t xml:space="preserve">Доводы жалобы Заявителя, касающиеся программного обеспечения (далее </w:t>
      </w:r>
      <w:r>
        <w:rPr>
          <w:rStyle w:val="CharStyle11"/>
          <w:lang w:val="en-US" w:eastAsia="en-US"/>
        </w:rPr>
        <w:t xml:space="preserve">– </w:t>
      </w:r>
      <w:r>
        <w:rPr>
          <w:rStyle w:val="CharStyle11"/>
        </w:rPr>
        <w:t xml:space="preserve">ПО) для приобретаемого оборудования, Комиссия УФАС также признала </w:t>
      </w:r>
      <w:r>
        <w:rPr>
          <w:rStyle w:val="CharStyle11"/>
          <w:b/>
          <w:bCs/>
        </w:rPr>
        <w:t xml:space="preserve">необоснованными </w:t>
      </w:r>
      <w:r>
        <w:rPr>
          <w:rStyle w:val="CharStyle11"/>
        </w:rPr>
        <w:t>в силу следующих оснований.</w:t>
      </w:r>
    </w:p>
    <w:p>
      <w:pPr>
        <w:pStyle w:val="Style10"/>
        <w:keepNext w:val="0"/>
        <w:keepLines w:val="0"/>
        <w:widowControl w:val="0"/>
        <w:shd w:val="clear" w:color="auto" w:fill="auto"/>
        <w:bidi w:val="0"/>
        <w:spacing w:before="0" w:after="240" w:line="240" w:lineRule="auto"/>
        <w:ind w:left="0" w:right="0" w:firstLine="720"/>
        <w:jc w:val="both"/>
      </w:pPr>
      <w:r>
        <w:rPr>
          <w:rStyle w:val="CharStyle11"/>
        </w:rPr>
        <w:t xml:space="preserve">Заявитель в своей жалобе указывает, что Заказчик в Извещении не применил требования в соответствии с Постановлением Правительства Российской Федерации от </w:t>
      </w:r>
      <w:r>
        <w:rPr>
          <w:rStyle w:val="CharStyle11"/>
          <w:lang w:val="en-US" w:eastAsia="en-US"/>
        </w:rPr>
        <w:t xml:space="preserve">16.11.2015 №1236 </w:t>
      </w:r>
      <w:r>
        <w:rPr>
          <w:rStyle w:val="CharStyle11"/>
        </w:rPr>
        <w:t>«Об установлении запрета на допуск</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№1236), </w:t>
      </w:r>
      <w:r>
        <w:rPr>
          <w:rStyle w:val="CharStyle11"/>
        </w:rPr>
        <w:t xml:space="preserve">которое с </w:t>
      </w:r>
      <w:r>
        <w:rPr>
          <w:rStyle w:val="CharStyle11"/>
          <w:lang w:val="en-US" w:eastAsia="en-US"/>
        </w:rPr>
        <w:t xml:space="preserve">01.01.2025 </w:t>
      </w:r>
      <w:r>
        <w:rPr>
          <w:rStyle w:val="CharStyle11"/>
        </w:rPr>
        <w:t xml:space="preserve">изменило свое название на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1"/>
          <w:lang w:val="en-US" w:eastAsia="en-US"/>
        </w:rPr>
        <w:t xml:space="preserve">- </w:t>
      </w:r>
      <w:r>
        <w:rPr>
          <w:rStyle w:val="CharStyle11"/>
        </w:rPr>
        <w:t>членов Евразийского экономического союза, за исключением Российской Федерации», а также утратило силу в качестве устанавливающего запрет на использование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С </w:t>
      </w:r>
      <w:r>
        <w:rPr>
          <w:rStyle w:val="CharStyle11"/>
          <w:lang w:val="en-US" w:eastAsia="en-US"/>
        </w:rPr>
        <w:t xml:space="preserve">01.01.2025 </w:t>
      </w:r>
      <w:r>
        <w:rPr>
          <w:rStyle w:val="CharStyle11"/>
        </w:rPr>
        <w:t xml:space="preserve">данную функцию выполняет позиция </w:t>
      </w:r>
      <w:r>
        <w:rPr>
          <w:rStyle w:val="CharStyle11"/>
          <w:lang w:val="en-US" w:eastAsia="en-US"/>
        </w:rPr>
        <w:t xml:space="preserve">146 </w:t>
      </w:r>
      <w:r>
        <w:rPr>
          <w:rStyle w:val="CharStyle11"/>
        </w:rPr>
        <w:t xml:space="preserve">Постановления </w:t>
      </w:r>
      <w:r>
        <w:rPr>
          <w:rStyle w:val="CharStyle11"/>
          <w:lang w:val="en-US" w:eastAsia="en-US"/>
        </w:rPr>
        <w:t>№1875.</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Для целей Постановления </w:t>
      </w:r>
      <w:r>
        <w:rPr>
          <w:rStyle w:val="CharStyle11"/>
          <w:lang w:val="en-US" w:eastAsia="en-US"/>
        </w:rPr>
        <w:t xml:space="preserve">№1875 </w:t>
      </w:r>
      <w:r>
        <w:rPr>
          <w:rStyle w:val="CharStyle11"/>
        </w:rPr>
        <w:t xml:space="preserve">под </w:t>
      </w:r>
      <w:r>
        <w:rPr>
          <w:rStyle w:val="CharStyle11"/>
          <w:b/>
          <w:bCs/>
        </w:rPr>
        <w:t xml:space="preserve">программным обеспечением </w:t>
      </w:r>
      <w:r>
        <w:rPr>
          <w:rStyle w:val="CharStyle11"/>
        </w:rPr>
        <w:t xml:space="preserve">указанным в позиции </w:t>
      </w:r>
      <w:r>
        <w:rPr>
          <w:rStyle w:val="CharStyle11"/>
          <w:lang w:val="en-US" w:eastAsia="en-US"/>
        </w:rPr>
        <w:t xml:space="preserve">146 </w:t>
      </w:r>
      <w:r>
        <w:rPr>
          <w:rStyle w:val="CharStyle11"/>
        </w:rPr>
        <w:t xml:space="preserve">приложения </w:t>
      </w:r>
      <w:r>
        <w:rPr>
          <w:rStyle w:val="CharStyle11"/>
          <w:lang w:val="en-US" w:eastAsia="en-US"/>
        </w:rPr>
        <w:t xml:space="preserve">№1 </w:t>
      </w:r>
      <w:r>
        <w:rPr>
          <w:rStyle w:val="CharStyle11"/>
        </w:rPr>
        <w:t xml:space="preserve">к Постановлению </w:t>
      </w:r>
      <w:r>
        <w:rPr>
          <w:rStyle w:val="CharStyle11"/>
          <w:lang w:val="en-US" w:eastAsia="en-US"/>
        </w:rPr>
        <w:t xml:space="preserve">№1875, </w:t>
      </w:r>
      <w:r>
        <w:rPr>
          <w:rStyle w:val="CharStyle11"/>
        </w:rPr>
        <w:t>понимается ПО и (или) права на него, возникшие вследствие:</w:t>
      </w:r>
    </w:p>
    <w:p>
      <w:pPr>
        <w:pStyle w:val="Style10"/>
        <w:keepNext w:val="0"/>
        <w:keepLines w:val="0"/>
        <w:widowControl w:val="0"/>
        <w:numPr>
          <w:ilvl w:val="0"/>
          <w:numId w:val="15"/>
        </w:numPr>
        <w:shd w:val="clear" w:color="auto" w:fill="auto"/>
        <w:tabs>
          <w:tab w:pos="812" w:val="left"/>
        </w:tabs>
        <w:bidi w:val="0"/>
        <w:spacing w:before="0" w:after="0" w:line="240" w:lineRule="auto"/>
        <w:ind w:left="0" w:right="0" w:firstLine="640"/>
        <w:jc w:val="both"/>
      </w:pPr>
      <w:r>
        <w:rPr>
          <w:rStyle w:val="CharStyle11"/>
        </w:rPr>
        <w:t>поставки на материальном носителе и (или) в электронном виде по каналам связи, а также предоставления в пользование ПО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10"/>
        <w:keepNext w:val="0"/>
        <w:keepLines w:val="0"/>
        <w:widowControl w:val="0"/>
        <w:numPr>
          <w:ilvl w:val="0"/>
          <w:numId w:val="15"/>
        </w:numPr>
        <w:shd w:val="clear" w:color="auto" w:fill="auto"/>
        <w:tabs>
          <w:tab w:pos="817" w:val="left"/>
        </w:tabs>
        <w:bidi w:val="0"/>
        <w:spacing w:before="0" w:after="0" w:line="240" w:lineRule="auto"/>
        <w:ind w:left="0" w:right="0" w:firstLine="640"/>
        <w:jc w:val="both"/>
      </w:pPr>
      <w:r>
        <w:rPr>
          <w:rStyle w:val="CharStyle11"/>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ПО подлежит установке в результате исполнения контракта;</w:t>
      </w:r>
    </w:p>
    <w:p>
      <w:pPr>
        <w:pStyle w:val="Style10"/>
        <w:keepNext w:val="0"/>
        <w:keepLines w:val="0"/>
        <w:widowControl w:val="0"/>
        <w:numPr>
          <w:ilvl w:val="0"/>
          <w:numId w:val="15"/>
        </w:numPr>
        <w:shd w:val="clear" w:color="auto" w:fill="auto"/>
        <w:tabs>
          <w:tab w:pos="812" w:val="left"/>
        </w:tabs>
        <w:bidi w:val="0"/>
        <w:spacing w:before="0" w:after="0" w:line="240" w:lineRule="auto"/>
        <w:ind w:left="0" w:right="0" w:firstLine="640"/>
        <w:jc w:val="both"/>
      </w:pPr>
      <w:r>
        <w:rPr>
          <w:rStyle w:val="CharStyle11"/>
        </w:rPr>
        <w:t>выполнения работ, оказания услуг, связанных с разработкой, модификацией модернизацией ПО,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ПО или расширением ранее предоставленного объема прав;</w:t>
      </w:r>
    </w:p>
    <w:p>
      <w:pPr>
        <w:pStyle w:val="Style10"/>
        <w:keepNext w:val="0"/>
        <w:keepLines w:val="0"/>
        <w:widowControl w:val="0"/>
        <w:numPr>
          <w:ilvl w:val="0"/>
          <w:numId w:val="15"/>
        </w:numPr>
        <w:shd w:val="clear" w:color="auto" w:fill="auto"/>
        <w:tabs>
          <w:tab w:pos="812" w:val="left"/>
        </w:tabs>
        <w:bidi w:val="0"/>
        <w:spacing w:before="0" w:after="0" w:line="240" w:lineRule="auto"/>
        <w:ind w:left="0" w:right="0" w:firstLine="640"/>
        <w:jc w:val="both"/>
      </w:pPr>
      <w:r>
        <w:rPr>
          <w:rStyle w:val="CharStyle11"/>
        </w:rPr>
        <w:t>оказания услуг, связанных с сопровождением, технической поддержкой обновлением ПО, в том числе в составе существующих автоматизированных систем, если такие услуги сопряжены с предоставлением заказчику прав на использованием ПО или расширением ранее предоставленного объема прав.</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Вместе с тем, Извещение об осуществлении Аукциона не содержит отдельной позиции объекта закупки </w:t>
      </w:r>
      <w:r>
        <w:rPr>
          <w:rStyle w:val="CharStyle11"/>
          <w:lang w:val="en-US" w:eastAsia="en-US"/>
        </w:rPr>
        <w:t xml:space="preserve">– </w:t>
      </w:r>
      <w:r>
        <w:rPr>
          <w:rStyle w:val="CharStyle11"/>
        </w:rPr>
        <w:t>ПО и (или) права на него, следовательно, по мнению Комиссии УФАС, основания для применения запрета на использование прилагаемого к оборудованию ПО отсутствуют.</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Все программы, поставляемые вместе с оборудованием, являются микропрограммами </w:t>
      </w:r>
      <w:r>
        <w:rPr>
          <w:rStyle w:val="CharStyle11"/>
          <w:lang w:val="en-US" w:eastAsia="en-US"/>
        </w:rPr>
        <w:t xml:space="preserve">– </w:t>
      </w:r>
      <w:r>
        <w:rPr>
          <w:rStyle w:val="CharStyle11"/>
        </w:rPr>
        <w:t>типом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конкретного устройства и может быть установлена только на то устройство, для которого разработана, и не может функционировать без аппаратной части.</w:t>
      </w:r>
    </w:p>
    <w:p>
      <w:pPr>
        <w:pStyle w:val="Style10"/>
        <w:keepNext w:val="0"/>
        <w:keepLines w:val="0"/>
        <w:widowControl w:val="0"/>
        <w:shd w:val="clear" w:color="auto" w:fill="auto"/>
        <w:bidi w:val="0"/>
        <w:spacing w:before="0" w:after="0" w:line="240" w:lineRule="auto"/>
        <w:ind w:left="0" w:right="0" w:firstLine="680"/>
        <w:jc w:val="both"/>
      </w:pPr>
      <w:r>
        <w:rPr>
          <w:rStyle w:val="CharStyle11"/>
        </w:rPr>
        <w:t>В отличие от ПО микропрограммы не находятся в свободном гражданском обороте и не приобретаются без соответствующего устройства.</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Также Комиссия УФАС установила, что использование в Извещении характеристик: «Специализированные режимы визуализации, пакеты программ и расчетов» произведено в рамках использования </w:t>
      </w:r>
      <w:r>
        <w:rPr>
          <w:rStyle w:val="CharStyle11"/>
          <w:u w:val="single"/>
        </w:rPr>
        <w:t>характеристик</w:t>
      </w:r>
      <w:r>
        <w:rPr>
          <w:rStyle w:val="CharStyle11"/>
        </w:rPr>
        <w:t xml:space="preserve">, </w:t>
      </w:r>
      <w:r>
        <w:rPr>
          <w:rStyle w:val="CharStyle11"/>
          <w:u w:val="single"/>
        </w:rPr>
        <w:t>установленных в КТРУ по закупаемой позиции</w:t>
      </w:r>
      <w:r>
        <w:rPr>
          <w:rStyle w:val="CharStyle11"/>
        </w:rPr>
        <w:t>.</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Извещением не предусмотрена необходимость установки программного обеспечения и передачи прав на него вследствие выполнения конкретных обязательств, кроме того, </w:t>
      </w:r>
      <w:r>
        <w:rPr>
          <w:rStyle w:val="CharStyle11"/>
          <w:u w:val="single"/>
        </w:rPr>
        <w:t>предустановленное программное обеспечение указано в регистрационном удостоверении на медицинские изделия, что делает невозможным в условиях отсутствия программного комплекса регистрацию изделия и использования его по назначению</w:t>
      </w:r>
      <w:r>
        <w:rPr>
          <w:rStyle w:val="CharStyle11"/>
        </w:rPr>
        <w:t xml:space="preserve"> в соответствии с частью </w:t>
      </w:r>
      <w:r>
        <w:rPr>
          <w:rStyle w:val="CharStyle11"/>
          <w:lang w:val="en-US" w:eastAsia="en-US"/>
        </w:rPr>
        <w:t xml:space="preserve">4 </w:t>
      </w:r>
      <w:r>
        <w:rPr>
          <w:rStyle w:val="CharStyle11"/>
        </w:rPr>
        <w:t xml:space="preserve">статьи </w:t>
      </w:r>
      <w:r>
        <w:rPr>
          <w:rStyle w:val="CharStyle11"/>
          <w:lang w:val="en-US" w:eastAsia="en-US"/>
        </w:rPr>
        <w:t xml:space="preserve">38 </w:t>
      </w:r>
      <w:r>
        <w:rPr>
          <w:rStyle w:val="CharStyle11"/>
        </w:rPr>
        <w:t xml:space="preserve">Федерального закона от </w:t>
      </w:r>
      <w:r>
        <w:rPr>
          <w:rStyle w:val="CharStyle11"/>
          <w:lang w:val="en-US" w:eastAsia="en-US"/>
        </w:rPr>
        <w:t xml:space="preserve">21.11.2011 </w:t>
      </w:r>
      <w:r>
        <w:rPr>
          <w:rStyle w:val="CharStyle11"/>
        </w:rPr>
        <w:t xml:space="preserve">№323-ФЗ «Об основах охраны здоровья граждан в Российской Федерации» и Постановления Правительства РФ от </w:t>
      </w:r>
      <w:r>
        <w:rPr>
          <w:rStyle w:val="CharStyle11"/>
          <w:lang w:val="en-US" w:eastAsia="en-US"/>
        </w:rPr>
        <w:t xml:space="preserve">27.12.2012 №1416 </w:t>
      </w:r>
      <w:r>
        <w:rPr>
          <w:rStyle w:val="CharStyle11"/>
        </w:rPr>
        <w:t>«Об утверждении Правил государственной регистрации медицинских изделий».</w:t>
      </w:r>
    </w:p>
    <w:p>
      <w:pPr>
        <w:pStyle w:val="Style10"/>
        <w:keepNext w:val="0"/>
        <w:keepLines w:val="0"/>
        <w:widowControl w:val="0"/>
        <w:shd w:val="clear" w:color="auto" w:fill="auto"/>
        <w:bidi w:val="0"/>
        <w:spacing w:before="0" w:after="0" w:line="240" w:lineRule="auto"/>
        <w:ind w:left="0" w:right="0" w:firstLine="680"/>
        <w:jc w:val="both"/>
      </w:pPr>
      <w:r>
        <w:rPr>
          <w:rStyle w:val="CharStyle11"/>
        </w:rPr>
        <w:t>В части довода, касающегося того, что «</w:t>
      </w:r>
      <w:r>
        <w:rPr>
          <w:rStyle w:val="CharStyle11"/>
          <w:i/>
          <w:iCs/>
        </w:rPr>
        <w:t xml:space="preserve">Заказчик закупает программу </w:t>
      </w:r>
      <w:r>
        <w:rPr>
          <w:rStyle w:val="CharStyle11"/>
          <w:i/>
          <w:iCs/>
          <w:lang w:val="en-US" w:eastAsia="en-US"/>
        </w:rPr>
        <w:t xml:space="preserve">DICOM, </w:t>
      </w:r>
      <w:r>
        <w:rPr>
          <w:rStyle w:val="CharStyle11"/>
          <w:i/>
          <w:iCs/>
        </w:rPr>
        <w:t>которая является самостоятельным продуктом и закупается отдельно Имеет собственную лицензию с переходом права. Внесён в единый реестр российских программ Минкомсвязи</w:t>
      </w:r>
      <w:r>
        <w:rPr>
          <w:rStyle w:val="CharStyle11"/>
        </w:rPr>
        <w:t>», Комиссия УФАС сообщает следующее.</w:t>
      </w:r>
    </w:p>
    <w:p>
      <w:pPr>
        <w:pStyle w:val="Style10"/>
        <w:keepNext w:val="0"/>
        <w:keepLines w:val="0"/>
        <w:widowControl w:val="0"/>
        <w:shd w:val="clear" w:color="auto" w:fill="auto"/>
        <w:bidi w:val="0"/>
        <w:spacing w:before="0" w:after="0" w:line="240" w:lineRule="auto"/>
        <w:ind w:left="0" w:right="0" w:firstLine="680"/>
        <w:jc w:val="both"/>
      </w:pPr>
      <w:r>
        <w:rPr>
          <w:rStyle w:val="CharStyle11"/>
          <w:lang w:val="en-US" w:eastAsia="en-US"/>
        </w:rPr>
        <w:t xml:space="preserve">DICOM (Digital Imaging and Communications in Medicine) - </w:t>
      </w:r>
      <w:r>
        <w:rPr>
          <w:rStyle w:val="CharStyle11"/>
        </w:rPr>
        <w:t xml:space="preserve">это медицинский отраслевой стандарт создания, хранения, передачи и визуализации цифровых медицинских изображений и документов обследованных пациентов, то есть </w:t>
      </w:r>
      <w:r>
        <w:rPr>
          <w:rStyle w:val="CharStyle11"/>
          <w:u w:val="single"/>
        </w:rPr>
        <w:t>является протоколом передачи данных, а не программным обеспечением</w:t>
      </w:r>
      <w:r>
        <w:rPr>
          <w:rStyle w:val="CharStyle11"/>
        </w:rPr>
        <w:t>.</w:t>
      </w:r>
    </w:p>
    <w:p>
      <w:pPr>
        <w:pStyle w:val="Style10"/>
        <w:keepNext w:val="0"/>
        <w:keepLines w:val="0"/>
        <w:widowControl w:val="0"/>
        <w:shd w:val="clear" w:color="auto" w:fill="auto"/>
        <w:bidi w:val="0"/>
        <w:spacing w:before="0" w:after="200" w:line="240" w:lineRule="auto"/>
        <w:ind w:left="0" w:right="0" w:firstLine="680"/>
        <w:jc w:val="both"/>
      </w:pPr>
      <w:r>
        <w:rPr>
          <w:rStyle w:val="CharStyle11"/>
        </w:rPr>
        <w:t>Более того, ссылка на данный протокол передачи данных отражена в характеристиках КТРУ к закупаемому товару: «</w:t>
      </w:r>
      <w:r>
        <w:rPr>
          <w:rStyle w:val="CharStyle11"/>
          <w:i/>
          <w:iCs/>
        </w:rPr>
        <w:t xml:space="preserve">Программа обмена данными по </w:t>
      </w:r>
      <w:r>
        <w:rPr>
          <w:rStyle w:val="CharStyle11"/>
          <w:b/>
          <w:bCs/>
          <w:i/>
          <w:iCs/>
        </w:rPr>
        <w:t xml:space="preserve">протоколу </w:t>
      </w:r>
      <w:r>
        <w:rPr>
          <w:rStyle w:val="CharStyle11"/>
          <w:b/>
          <w:bCs/>
          <w:i/>
          <w:iCs/>
          <w:lang w:val="en-US" w:eastAsia="en-US"/>
        </w:rPr>
        <w:t>DICOM</w:t>
      </w:r>
      <w:r>
        <w:rPr>
          <w:rStyle w:val="CharStyle11"/>
          <w:lang w:val="en-US" w:eastAsia="en-US"/>
        </w:rPr>
        <w:t>».</w:t>
      </w:r>
    </w:p>
    <w:p>
      <w:pPr>
        <w:pStyle w:val="Style10"/>
        <w:keepNext w:val="0"/>
        <w:keepLines w:val="0"/>
        <w:widowControl w:val="0"/>
        <w:numPr>
          <w:ilvl w:val="0"/>
          <w:numId w:val="17"/>
        </w:numPr>
        <w:shd w:val="clear" w:color="auto" w:fill="auto"/>
        <w:tabs>
          <w:tab w:pos="1022" w:val="left"/>
        </w:tabs>
        <w:bidi w:val="0"/>
        <w:spacing w:before="0" w:after="200" w:line="240" w:lineRule="auto"/>
        <w:ind w:left="0" w:right="0" w:firstLine="680"/>
        <w:jc w:val="both"/>
      </w:pPr>
      <w:r>
        <w:rPr>
          <w:rStyle w:val="CharStyle11"/>
        </w:rPr>
        <w:t>Несостоятельность довода о том, что совокупность характеристик в техническом задании «</w:t>
      </w:r>
      <w:r>
        <w:rPr>
          <w:rStyle w:val="CharStyle11"/>
          <w:i/>
          <w:iCs/>
        </w:rPr>
        <w:t>не подходит под описание какого-либо оборудования, поставляемого в РФ и имеющего РУ. Возможно, присутствует только у одного производителя, но данная информация не подтверждена</w:t>
      </w:r>
      <w:r>
        <w:rPr>
          <w:rStyle w:val="CharStyle11"/>
        </w:rPr>
        <w:t xml:space="preserve">», </w:t>
      </w:r>
      <w:r>
        <w:rPr>
          <w:rStyle w:val="CharStyle11"/>
          <w:lang w:val="en-US" w:eastAsia="en-US"/>
        </w:rPr>
        <w:t xml:space="preserve">- </w:t>
      </w:r>
      <w:r>
        <w:rPr>
          <w:rStyle w:val="CharStyle11"/>
        </w:rPr>
        <w:t xml:space="preserve">вытекает из выводов Комиссии УФАС, сделанных при рассмотрении довода </w:t>
      </w:r>
      <w:r>
        <w:rPr>
          <w:rStyle w:val="CharStyle11"/>
          <w:lang w:val="en-US" w:eastAsia="en-US"/>
        </w:rPr>
        <w:t>№5.</w:t>
      </w:r>
    </w:p>
    <w:p>
      <w:pPr>
        <w:pStyle w:val="Style10"/>
        <w:keepNext w:val="0"/>
        <w:keepLines w:val="0"/>
        <w:widowControl w:val="0"/>
        <w:numPr>
          <w:ilvl w:val="0"/>
          <w:numId w:val="17"/>
        </w:numPr>
        <w:shd w:val="clear" w:color="auto" w:fill="auto"/>
        <w:tabs>
          <w:tab w:pos="1116" w:val="left"/>
        </w:tabs>
        <w:bidi w:val="0"/>
        <w:spacing w:before="0" w:after="0" w:line="240" w:lineRule="auto"/>
        <w:ind w:left="0" w:right="0" w:firstLine="680"/>
        <w:jc w:val="both"/>
      </w:pPr>
      <w:r>
        <w:rPr>
          <w:rStyle w:val="CharStyle11"/>
        </w:rPr>
        <w:t xml:space="preserve">Комиссия УФАС отмечает, что Описание объекта закупки в электронном Извещении выполнено в полном соответствии с требованиями пункта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shd w:val="clear" w:color="auto" w:fill="auto"/>
        <w:bidi w:val="0"/>
        <w:spacing w:before="0" w:after="200" w:line="240" w:lineRule="auto"/>
        <w:ind w:left="0" w:right="0" w:firstLine="680"/>
        <w:jc w:val="both"/>
      </w:pPr>
      <w:r>
        <w:rPr>
          <w:rStyle w:val="CharStyle11"/>
        </w:rPr>
        <w:t xml:space="preserve">Как установила Комиссия УФАС, в соответствии с требованием 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Закона о контрактной системе, электронное Извещение рассматриваемой</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закупки содержит приложение в виде файла «Описание объекта закупки», </w:t>
      </w:r>
      <w:r>
        <w:rPr>
          <w:rStyle w:val="CharStyle11"/>
          <w:lang w:val="en-US" w:eastAsia="en-US"/>
        </w:rPr>
        <w:t xml:space="preserve">- </w:t>
      </w:r>
      <w:r>
        <w:rPr>
          <w:rStyle w:val="CharStyle11"/>
        </w:rPr>
        <w:t>копию документа, сформированного без использования ЕИС.</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Пунктом </w:t>
      </w:r>
      <w:r>
        <w:rPr>
          <w:rStyle w:val="CharStyle11"/>
          <w:lang w:val="en-US" w:eastAsia="en-US"/>
        </w:rPr>
        <w:t xml:space="preserve">7 </w:t>
      </w:r>
      <w:r>
        <w:rPr>
          <w:rStyle w:val="CharStyle11"/>
        </w:rPr>
        <w:t xml:space="preserve">Правил использования КТРУ установлено, что в случае осуществления закупки товара, работы, услуги, </w:t>
      </w:r>
      <w:r>
        <w:rPr>
          <w:rStyle w:val="CharStyle11"/>
          <w:u w:val="single"/>
        </w:rPr>
        <w:t>в отношении которых в каталоге отсутствуют соответствующие позиции</w:t>
      </w:r>
      <w:r>
        <w:rPr>
          <w:rStyle w:val="CharStyle11"/>
        </w:rPr>
        <w:t xml:space="preserve">, заказчик осуществляет описание товара работы, услуги в соответствии с требованиями статьи </w:t>
      </w:r>
      <w:r>
        <w:rPr>
          <w:rStyle w:val="CharStyle11"/>
          <w:lang w:val="en-US" w:eastAsia="en-US"/>
        </w:rPr>
        <w:t xml:space="preserve">33 </w:t>
      </w:r>
      <w:r>
        <w:rPr>
          <w:rStyle w:val="CharStyle11"/>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Федерального закона, </w:t>
      </w:r>
      <w:r>
        <w:rPr>
          <w:rStyle w:val="CharStyle11"/>
          <w:u w:val="single"/>
        </w:rPr>
        <w:t>указываются с использованием единой информационной системы при формировании извещения об осуществлении закупки</w:t>
      </w:r>
      <w:r>
        <w:rPr>
          <w:rStyle w:val="CharStyle11"/>
        </w:rPr>
        <w:t xml:space="preserve">, приглашения принять участие в определении поставщика (подрядчика, исполнителя) </w:t>
      </w:r>
      <w:r>
        <w:rPr>
          <w:rStyle w:val="CharStyle11"/>
          <w:u w:val="single"/>
        </w:rPr>
        <w:t xml:space="preserve">в соответствии с частью </w:t>
      </w:r>
      <w:r>
        <w:rPr>
          <w:rStyle w:val="CharStyle11"/>
          <w:u w:val="single"/>
          <w:lang w:val="en-US" w:eastAsia="en-US"/>
        </w:rPr>
        <w:t xml:space="preserve">1 </w:t>
      </w:r>
      <w:r>
        <w:rPr>
          <w:rStyle w:val="CharStyle11"/>
          <w:u w:val="single"/>
        </w:rPr>
        <w:t xml:space="preserve">статьи </w:t>
      </w:r>
      <w:r>
        <w:rPr>
          <w:rStyle w:val="CharStyle11"/>
          <w:u w:val="single"/>
          <w:lang w:val="en-US" w:eastAsia="en-US"/>
        </w:rPr>
        <w:t>42</w:t>
      </w:r>
      <w:r>
        <w:rPr>
          <w:rStyle w:val="CharStyle11"/>
          <w:lang w:val="en-US" w:eastAsia="en-US"/>
        </w:rPr>
        <w:t xml:space="preserve">, </w:t>
      </w: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75 </w:t>
      </w:r>
      <w:r>
        <w:rPr>
          <w:rStyle w:val="CharStyle11"/>
        </w:rPr>
        <w:t>Федерального закона соответственно.</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Согласно части </w:t>
      </w:r>
      <w:r>
        <w:rPr>
          <w:rStyle w:val="CharStyle11"/>
          <w:lang w:val="en-US" w:eastAsia="en-US"/>
        </w:rPr>
        <w:t xml:space="preserve">4 </w:t>
      </w:r>
      <w:r>
        <w:rPr>
          <w:rStyle w:val="CharStyle11"/>
        </w:rPr>
        <w:t xml:space="preserve">статьи </w:t>
      </w:r>
      <w:r>
        <w:rPr>
          <w:rStyle w:val="CharStyle11"/>
          <w:lang w:val="en-US" w:eastAsia="en-US"/>
        </w:rPr>
        <w:t xml:space="preserve">5 </w:t>
      </w:r>
      <w:r>
        <w:rPr>
          <w:rStyle w:val="CharStyle11"/>
        </w:rPr>
        <w:t xml:space="preserve">Закона о контрактной системе, в случае наличия противоречий между данными, содержащимися в ЕИС, и данными, содержащимися в информации и документах, направляемых участниками контрактной системы, </w:t>
      </w:r>
      <w:r>
        <w:rPr>
          <w:rStyle w:val="CharStyle11"/>
          <w:u w:val="single"/>
        </w:rPr>
        <w:t>приоритет имеет информация, содержащаяся в ЕИС</w:t>
      </w:r>
      <w:r>
        <w:rPr>
          <w:rStyle w:val="CharStyle11"/>
        </w:rPr>
        <w:t>.</w:t>
      </w:r>
    </w:p>
    <w:p>
      <w:pPr>
        <w:pStyle w:val="Style10"/>
        <w:keepNext w:val="0"/>
        <w:keepLines w:val="0"/>
        <w:widowControl w:val="0"/>
        <w:shd w:val="clear" w:color="auto" w:fill="auto"/>
        <w:bidi w:val="0"/>
        <w:spacing w:before="0" w:after="0" w:line="240" w:lineRule="auto"/>
        <w:ind w:left="0" w:right="0" w:firstLine="680"/>
        <w:jc w:val="both"/>
      </w:pPr>
      <w:r>
        <w:rPr>
          <w:rStyle w:val="CharStyle11"/>
        </w:rPr>
        <w:t>С учетом вышеизложенного, Комиссия УФАС пришла к выводу, что положения законодательства о контрактной системе, устанавливающие требования к описанию объекта закупки, не содержат требования о четком соответствии структурированного электронного варианта описания объекта закупки и описания объекта закупки в виде файла, прилагаемого к электронному Извещению.</w:t>
      </w:r>
    </w:p>
    <w:p>
      <w:pPr>
        <w:pStyle w:val="Style10"/>
        <w:keepNext w:val="0"/>
        <w:keepLines w:val="0"/>
        <w:widowControl w:val="0"/>
        <w:shd w:val="clear" w:color="auto" w:fill="auto"/>
        <w:bidi w:val="0"/>
        <w:spacing w:before="0" w:after="200" w:line="240" w:lineRule="auto"/>
        <w:ind w:left="0" w:right="0" w:firstLine="680"/>
        <w:jc w:val="both"/>
      </w:pPr>
      <w:r>
        <w:rPr>
          <w:rStyle w:val="CharStyle11"/>
        </w:rPr>
        <w:t xml:space="preserve">Заявителем не представлены доказательства обратного, следовательно данный довод также признается </w:t>
      </w:r>
      <w:r>
        <w:rPr>
          <w:rStyle w:val="CharStyle11"/>
          <w:b/>
          <w:bCs/>
        </w:rPr>
        <w:t>необоснованным</w:t>
      </w:r>
      <w:r>
        <w:rPr>
          <w:rStyle w:val="CharStyle11"/>
        </w:rPr>
        <w:t>.</w:t>
      </w:r>
    </w:p>
    <w:p>
      <w:pPr>
        <w:pStyle w:val="Style10"/>
        <w:keepNext w:val="0"/>
        <w:keepLines w:val="0"/>
        <w:widowControl w:val="0"/>
        <w:numPr>
          <w:ilvl w:val="0"/>
          <w:numId w:val="17"/>
        </w:numPr>
        <w:shd w:val="clear" w:color="auto" w:fill="auto"/>
        <w:tabs>
          <w:tab w:pos="1105" w:val="left"/>
        </w:tabs>
        <w:bidi w:val="0"/>
        <w:spacing w:before="0" w:after="0" w:line="240" w:lineRule="auto"/>
        <w:ind w:left="0" w:right="0" w:firstLine="680"/>
        <w:jc w:val="both"/>
      </w:pPr>
      <w:r>
        <w:rPr>
          <w:rStyle w:val="CharStyle11"/>
        </w:rPr>
        <w:t xml:space="preserve">В своем доводе </w:t>
      </w:r>
      <w:r>
        <w:rPr>
          <w:rStyle w:val="CharStyle11"/>
          <w:lang w:val="en-US" w:eastAsia="en-US"/>
        </w:rPr>
        <w:t xml:space="preserve">№11 </w:t>
      </w:r>
      <w:r>
        <w:rPr>
          <w:rStyle w:val="CharStyle11"/>
        </w:rPr>
        <w:t xml:space="preserve">Заявитель опирается на положения статьи </w:t>
      </w:r>
      <w:r>
        <w:rPr>
          <w:rStyle w:val="CharStyle11"/>
          <w:lang w:val="en-US" w:eastAsia="en-US"/>
        </w:rPr>
        <w:t xml:space="preserve">6 </w:t>
      </w:r>
      <w:r>
        <w:rPr>
          <w:rStyle w:val="CharStyle11"/>
        </w:rPr>
        <w:t xml:space="preserve">и части </w:t>
      </w:r>
      <w:r>
        <w:rPr>
          <w:rStyle w:val="CharStyle11"/>
          <w:lang w:val="en-US" w:eastAsia="en-US"/>
        </w:rPr>
        <w:t xml:space="preserve">2 </w:t>
      </w:r>
      <w:r>
        <w:rPr>
          <w:rStyle w:val="CharStyle11"/>
        </w:rPr>
        <w:t xml:space="preserve">статьи </w:t>
      </w:r>
      <w:r>
        <w:rPr>
          <w:rStyle w:val="CharStyle11"/>
          <w:lang w:val="en-US" w:eastAsia="en-US"/>
        </w:rPr>
        <w:t xml:space="preserve">8 </w:t>
      </w:r>
      <w:r>
        <w:rPr>
          <w:rStyle w:val="CharStyle11"/>
        </w:rPr>
        <w:t>Закона о контрактной системе и утверждает, что в документации и в файле «Описание объекта закупки» представлена противоречащая законодательству о контрактной системе информация, что ограничивает конкуренцию.</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В соответствии со статьей </w:t>
      </w:r>
      <w:r>
        <w:rPr>
          <w:rStyle w:val="CharStyle11"/>
          <w:lang w:val="en-US" w:eastAsia="en-US"/>
        </w:rPr>
        <w:t xml:space="preserve">6 </w:t>
      </w:r>
      <w:r>
        <w:rPr>
          <w:rStyle w:val="CharStyle11"/>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0"/>
        <w:keepNext w:val="0"/>
        <w:keepLines w:val="0"/>
        <w:widowControl w:val="0"/>
        <w:shd w:val="clear" w:color="auto" w:fill="auto"/>
        <w:bidi w:val="0"/>
        <w:spacing w:before="0" w:after="0" w:line="240" w:lineRule="auto"/>
        <w:ind w:left="0" w:right="0" w:firstLine="680"/>
        <w:jc w:val="both"/>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8 </w:t>
      </w:r>
      <w:r>
        <w:rPr>
          <w:rStyle w:val="CharStyle11"/>
        </w:rPr>
        <w:t xml:space="preserve">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w:t>
      </w:r>
      <w:r>
        <w:rPr>
          <w:rStyle w:val="CharStyle11"/>
          <w:u w:val="single"/>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r>
        <w:rPr>
          <w:rStyle w:val="CharStyle11"/>
        </w:rPr>
        <w:t>.</w:t>
      </w:r>
    </w:p>
    <w:p>
      <w:pPr>
        <w:pStyle w:val="Style10"/>
        <w:keepNext w:val="0"/>
        <w:keepLines w:val="0"/>
        <w:widowControl w:val="0"/>
        <w:shd w:val="clear" w:color="auto" w:fill="auto"/>
        <w:bidi w:val="0"/>
        <w:spacing w:before="0" w:after="0" w:line="240" w:lineRule="auto"/>
        <w:ind w:left="0" w:right="0" w:firstLine="68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633" w:right="629" w:bottom="1254" w:left="1003" w:header="0" w:footer="3" w:gutter="0"/>
          <w:cols w:space="720"/>
          <w:noEndnote/>
          <w:rtlGutter w:val="0"/>
          <w:docGrid w:linePitch="360"/>
        </w:sectPr>
      </w:pPr>
      <w:r>
        <w:rPr>
          <w:rStyle w:val="CharStyle11"/>
        </w:rPr>
        <w:t xml:space="preserve">Частью </w:t>
      </w:r>
      <w:r>
        <w:rPr>
          <w:rStyle w:val="CharStyle11"/>
          <w:lang w:val="en-US" w:eastAsia="en-US"/>
        </w:rPr>
        <w:t xml:space="preserve">2 </w:t>
      </w:r>
      <w:r>
        <w:rPr>
          <w:rStyle w:val="CharStyle11"/>
        </w:rPr>
        <w:t xml:space="preserve">статьи </w:t>
      </w:r>
      <w:r>
        <w:rPr>
          <w:rStyle w:val="CharStyle11"/>
          <w:lang w:val="en-US" w:eastAsia="en-US"/>
        </w:rPr>
        <w:t xml:space="preserve">8 </w:t>
      </w:r>
      <w:r>
        <w:rPr>
          <w:rStyle w:val="CharStyle11"/>
        </w:rPr>
        <w:t>Закона о контрактной системе установлено, что</w:t>
      </w:r>
    </w:p>
    <w:p>
      <w:pPr>
        <w:pStyle w:val="Style10"/>
        <w:keepNext w:val="0"/>
        <w:keepLines w:val="0"/>
        <w:widowControl w:val="0"/>
        <w:shd w:val="clear" w:color="auto" w:fill="auto"/>
        <w:bidi w:val="0"/>
        <w:spacing w:before="0" w:after="0" w:line="240" w:lineRule="auto"/>
        <w:ind w:left="0" w:right="0" w:firstLine="0"/>
        <w:jc w:val="both"/>
      </w:pPr>
      <w:r>
        <w:rPr>
          <w:rStyle w:val="CharStyle11"/>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640"/>
        <w:jc w:val="both"/>
      </w:pPr>
      <w:r>
        <w:rPr>
          <w:rStyle w:val="CharStyle11"/>
        </w:rPr>
        <w:t>Комиссия УФАС отмечает, что специфика закупки определяет необходимые требования к товару, в связи с чем, правомочие на их установление законодательством Российской Федерации о контрактной системе предоставлено Заказчику.</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Указанием на определенные показатели требуемого товара, Заказчик проинформировал участников закупки о требованиях к товарам, необходимым Заказчику.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w:t>
      </w:r>
      <w:r>
        <w:rPr>
          <w:rStyle w:val="CharStyle11"/>
          <w:u w:val="single"/>
        </w:rPr>
        <w:t>не свидетельствует о нарушении Заказчиком прав этих лиц, а также об ограничении числа участников закупки</w:t>
      </w:r>
      <w:r>
        <w:rPr>
          <w:rStyle w:val="CharStyle11"/>
        </w:rPr>
        <w:t>.</w:t>
      </w:r>
    </w:p>
    <w:p>
      <w:pPr>
        <w:pStyle w:val="Style10"/>
        <w:keepNext w:val="0"/>
        <w:keepLines w:val="0"/>
        <w:widowControl w:val="0"/>
        <w:shd w:val="clear" w:color="auto" w:fill="auto"/>
        <w:bidi w:val="0"/>
        <w:spacing w:before="0" w:after="0" w:line="240" w:lineRule="auto"/>
        <w:ind w:left="0" w:right="0" w:firstLine="640"/>
        <w:jc w:val="both"/>
      </w:pPr>
      <w:r>
        <w:rPr>
          <w:rStyle w:val="CharStyle11"/>
        </w:rPr>
        <w:t>Кроме того, Заказчик не имеет возможность установить требования к техническим, качественным характеристикам товара, которые удовлетворяли бы всех возможных участников закупки.</w:t>
      </w:r>
    </w:p>
    <w:p>
      <w:pPr>
        <w:pStyle w:val="Style10"/>
        <w:keepNext w:val="0"/>
        <w:keepLines w:val="0"/>
        <w:widowControl w:val="0"/>
        <w:shd w:val="clear" w:color="auto" w:fill="auto"/>
        <w:bidi w:val="0"/>
        <w:spacing w:before="0" w:after="0" w:line="240" w:lineRule="auto"/>
        <w:ind w:left="0" w:right="0" w:firstLine="640"/>
        <w:jc w:val="both"/>
      </w:pPr>
      <w:r>
        <w:rPr>
          <w:rStyle w:val="CharStyle11"/>
        </w:rPr>
        <w:t>При этом Закон о контрактной системе не обязывает Заказчика при определении характеристик поставляемого товара в Извещении устанавливать такие характеристики, которые соответствовали бы всем существующим типам видам, маркам товара.</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Принимая во внимание тот факт, что Заказчик выполнил описание объекта закупки в соответствии с требованиями, установленными законодательством о контрактной системе, использовав </w:t>
      </w:r>
      <w:r>
        <w:rPr>
          <w:rStyle w:val="CharStyle11"/>
          <w:u w:val="single"/>
        </w:rPr>
        <w:t>исключительно информацию, указанную в КТРУ</w:t>
      </w:r>
      <w:r>
        <w:rPr>
          <w:rStyle w:val="CharStyle11"/>
        </w:rPr>
        <w:t xml:space="preserve">, а в соответствии с пунктом </w:t>
      </w:r>
      <w:r>
        <w:rPr>
          <w:rStyle w:val="CharStyle11"/>
          <w:lang w:val="en-US" w:eastAsia="en-US"/>
        </w:rPr>
        <w:t xml:space="preserve">4 </w:t>
      </w:r>
      <w:r>
        <w:rPr>
          <w:rStyle w:val="CharStyle11"/>
        </w:rPr>
        <w:t xml:space="preserve">Правил формирования и ведения в единой информационной системе в сфере закупок КТРУ, утвержденных Постановлением </w:t>
      </w:r>
      <w:r>
        <w:rPr>
          <w:rStyle w:val="CharStyle11"/>
          <w:lang w:val="en-US" w:eastAsia="en-US"/>
        </w:rPr>
        <w:t xml:space="preserve">№145, </w:t>
      </w:r>
      <w:r>
        <w:rPr>
          <w:rStyle w:val="CharStyle11"/>
          <w:u w:val="single"/>
        </w:rPr>
        <w:t xml:space="preserve">формирование и ведение каталога обеспечивает федеральный орган исполнительной власти по регулированию контрактной системы в сфере закупок (далее </w:t>
      </w:r>
      <w:r>
        <w:rPr>
          <w:rStyle w:val="CharStyle11"/>
          <w:u w:val="single"/>
          <w:lang w:val="en-US" w:eastAsia="en-US"/>
        </w:rPr>
        <w:t xml:space="preserve">- </w:t>
      </w:r>
      <w:r>
        <w:rPr>
          <w:rStyle w:val="CharStyle11"/>
          <w:u w:val="single"/>
        </w:rPr>
        <w:t>уполномоченный орган), в том числе в результате взаимодействия с федеральными органами исполнительной власти, осуществляющими формирование и (или) ведение информационных систем, а также осуществляющими государственную регистрацию товаров в установленной сфере деятельности</w:t>
      </w:r>
      <w:r>
        <w:rPr>
          <w:rStyle w:val="CharStyle11"/>
        </w:rPr>
        <w:t xml:space="preserve">, Комиссия УФАС не видит оснований сомневаться в том, что данная информация </w:t>
      </w:r>
      <w:r>
        <w:rPr>
          <w:rStyle w:val="CharStyle11"/>
          <w:u w:val="single"/>
        </w:rPr>
        <w:t>не противоречит</w:t>
      </w:r>
      <w:r>
        <w:rPr>
          <w:rStyle w:val="CharStyle11"/>
        </w:rPr>
        <w:t xml:space="preserve"> законодательству и </w:t>
      </w:r>
      <w:r>
        <w:rPr>
          <w:rStyle w:val="CharStyle11"/>
          <w:u w:val="single"/>
        </w:rPr>
        <w:t>не ограничивает</w:t>
      </w:r>
      <w:r>
        <w:rPr>
          <w:rStyle w:val="CharStyle11"/>
        </w:rPr>
        <w:t xml:space="preserve"> конкуренцию поэтому признает данный довод </w:t>
      </w:r>
      <w:r>
        <w:rPr>
          <w:rStyle w:val="CharStyle11"/>
          <w:b/>
          <w:bCs/>
        </w:rPr>
        <w:t>необоснованным</w:t>
      </w:r>
      <w:r>
        <w:rPr>
          <w:rStyle w:val="CharStyle11"/>
        </w:rPr>
        <w:t>.</w:t>
      </w:r>
    </w:p>
    <w:p>
      <w:pPr>
        <w:pStyle w:val="Style10"/>
        <w:keepNext w:val="0"/>
        <w:keepLines w:val="0"/>
        <w:widowControl w:val="0"/>
        <w:shd w:val="clear" w:color="auto" w:fill="auto"/>
        <w:bidi w:val="0"/>
        <w:spacing w:before="0" w:after="0" w:line="302" w:lineRule="auto"/>
        <w:ind w:left="0" w:right="0" w:firstLine="640"/>
        <w:jc w:val="both"/>
        <w:rPr>
          <w:sz w:val="24"/>
          <w:szCs w:val="24"/>
        </w:rPr>
        <w:sectPr>
          <w:headerReference w:type="default" r:id="rId25"/>
          <w:footerReference w:type="default" r:id="rId26"/>
          <w:headerReference w:type="even" r:id="rId27"/>
          <w:footerReference w:type="even" r:id="rId28"/>
          <w:footnotePr>
            <w:pos w:val="pageBottom"/>
            <w:numFmt w:val="decimal"/>
            <w:numRestart w:val="continuous"/>
          </w:footnotePr>
          <w:pgSz w:w="11900" w:h="16840"/>
          <w:pgMar w:top="1666" w:right="766" w:bottom="764" w:left="1106" w:header="0" w:footer="336" w:gutter="0"/>
          <w:cols w:space="720"/>
          <w:noEndnote/>
          <w:rtlGutter w:val="0"/>
          <w:docGrid w:linePitch="360"/>
        </w:sectPr>
      </w:pPr>
      <w:r>
        <w:rPr>
          <w:rStyle w:val="CharStyle11"/>
        </w:rPr>
        <w:t xml:space="preserve">Подтверждением отсутствия ограничения конкуренции при проведении рассматриваемой закупки являются результаты Аукциона: на участие в закупке </w:t>
      </w:r>
      <w:r>
        <w:rPr>
          <w:rStyle w:val="CharStyle11"/>
          <w:sz w:val="24"/>
          <w:szCs w:val="24"/>
          <w:lang w:val="en-US" w:eastAsia="en-US"/>
        </w:rPr>
        <w:t>2026-1152</w:t>
      </w:r>
    </w:p>
    <w:p>
      <w:pPr>
        <w:pStyle w:val="Style10"/>
        <w:keepNext w:val="0"/>
        <w:keepLines w:val="0"/>
        <w:widowControl w:val="0"/>
        <w:shd w:val="clear" w:color="auto" w:fill="auto"/>
        <w:bidi w:val="0"/>
        <w:spacing w:before="0" w:after="200" w:line="240" w:lineRule="auto"/>
        <w:ind w:left="0" w:right="0" w:firstLine="0"/>
        <w:jc w:val="both"/>
      </w:pPr>
      <w:r>
        <w:rPr>
          <w:rStyle w:val="CharStyle11"/>
        </w:rPr>
        <w:t xml:space="preserve">было подано </w:t>
      </w:r>
      <w:r>
        <w:rPr>
          <w:rStyle w:val="CharStyle11"/>
          <w:lang w:val="en-US" w:eastAsia="en-US"/>
        </w:rPr>
        <w:t xml:space="preserve">2 </w:t>
      </w:r>
      <w:r>
        <w:rPr>
          <w:rStyle w:val="CharStyle11"/>
        </w:rPr>
        <w:t>(Две) заявки. Участники Аукциона предложили товары, которые соответствуют требованиям Извещения и изготовлены разными производителями что подтверждается информацией оператора электронной торговой площадки АО «Сбербанк-АСТ», предоставленной в Адыгейское УФАС России по запросу.</w:t>
      </w:r>
    </w:p>
    <w:p>
      <w:pPr>
        <w:pStyle w:val="Style10"/>
        <w:keepNext w:val="0"/>
        <w:keepLines w:val="0"/>
        <w:widowControl w:val="0"/>
        <w:numPr>
          <w:ilvl w:val="0"/>
          <w:numId w:val="17"/>
        </w:numPr>
        <w:shd w:val="clear" w:color="auto" w:fill="auto"/>
        <w:tabs>
          <w:tab w:pos="1136" w:val="left"/>
        </w:tabs>
        <w:bidi w:val="0"/>
        <w:spacing w:before="0" w:after="60" w:line="240" w:lineRule="auto"/>
        <w:ind w:left="0" w:right="0" w:firstLine="700"/>
        <w:jc w:val="both"/>
      </w:pPr>
      <w:r>
        <w:rPr>
          <w:rStyle w:val="CharStyle11"/>
        </w:rPr>
        <w:t xml:space="preserve">Комиссия УФАС также обращает внимание на то, что изложенные Заявителем в жалобе утверждения о неуказании контактных данных получателя, отсутствии сроков исполнения контракта в Извещении </w:t>
      </w:r>
      <w:r>
        <w:rPr>
          <w:rStyle w:val="CharStyle11"/>
          <w:b/>
          <w:bCs/>
        </w:rPr>
        <w:t>не нашли своего подтверждения</w:t>
      </w:r>
      <w:r>
        <w:rPr>
          <w:rStyle w:val="CharStyle11"/>
        </w:rPr>
        <w:t>, поскольку Извещение о проведении закупки содержит указанную информацию: «</w:t>
      </w:r>
      <w:r>
        <w:rPr>
          <w:rStyle w:val="CharStyle11"/>
          <w:i/>
          <w:iCs/>
        </w:rPr>
        <w:t xml:space="preserve">Заказчик: Государственное бюджетное учреждение здравоохранения Республики Адыгея «Адыгейский республиканский клинический онкологический диспансер имени М.Х.Ашхамафа», Тел. </w:t>
      </w:r>
      <w:r>
        <w:rPr>
          <w:rStyle w:val="CharStyle11"/>
          <w:i/>
          <w:iCs/>
          <w:lang w:val="en-US" w:eastAsia="en-US"/>
        </w:rPr>
        <w:t xml:space="preserve">8(903) 466-28-24 E-mail: </w:t>
      </w:r>
      <w:r>
        <w:fldChar w:fldCharType="begin"/>
      </w:r>
      <w:r>
        <w:rPr/>
        <w:instrText> HYPERLINK "mailto:arkod@adygheya.gov.ru" </w:instrText>
      </w:r>
      <w:r>
        <w:fldChar w:fldCharType="separate"/>
      </w:r>
      <w:r>
        <w:rPr>
          <w:rStyle w:val="CharStyle11"/>
          <w:i/>
          <w:iCs/>
          <w:lang w:val="en-US" w:eastAsia="en-US"/>
        </w:rPr>
        <w:t>arkod@adygheya.gov.ru</w:t>
      </w:r>
      <w:r>
        <w:fldChar w:fldCharType="end"/>
      </w:r>
      <w:r>
        <w:rPr>
          <w:rStyle w:val="CharStyle11"/>
          <w:i/>
          <w:iCs/>
          <w:lang w:val="en-US" w:eastAsia="en-US"/>
        </w:rPr>
        <w:t xml:space="preserve">, </w:t>
      </w:r>
      <w:r>
        <w:rPr>
          <w:rStyle w:val="CharStyle11"/>
          <w:i/>
          <w:iCs/>
        </w:rPr>
        <w:t>конт.лицо: Куликова Ольга Владимировна</w:t>
      </w:r>
      <w:r>
        <w:rPr>
          <w:rStyle w:val="CharStyle11"/>
        </w:rPr>
        <w:t>»;</w:t>
      </w:r>
    </w:p>
    <w:p>
      <w:pPr>
        <w:pStyle w:val="Style10"/>
        <w:keepNext w:val="0"/>
        <w:keepLines w:val="0"/>
        <w:widowControl w:val="0"/>
        <w:shd w:val="clear" w:color="auto" w:fill="auto"/>
        <w:bidi w:val="0"/>
        <w:spacing w:before="0" w:after="160" w:line="240" w:lineRule="auto"/>
        <w:ind w:left="0" w:right="0" w:firstLine="0"/>
        <w:jc w:val="both"/>
        <w:rPr>
          <w:sz w:val="26"/>
          <w:szCs w:val="26"/>
        </w:rPr>
      </w:pPr>
      <w:r>
        <w:rPr>
          <w:rStyle w:val="CharStyle11"/>
          <w:i/>
          <w:iCs/>
        </w:rPr>
        <w:t>«</w:t>
      </w:r>
      <w:r>
        <w:rPr>
          <w:rStyle w:val="CharStyle11"/>
          <w:b/>
          <w:bCs/>
          <w:i/>
          <w:iCs/>
          <w:sz w:val="26"/>
          <w:szCs w:val="26"/>
        </w:rPr>
        <w:t>Информация о сроках исполнения контракта и источниках финансирования</w:t>
      </w:r>
    </w:p>
    <w:p>
      <w:pPr>
        <w:pStyle w:val="Style10"/>
        <w:keepNext w:val="0"/>
        <w:keepLines w:val="0"/>
        <w:widowControl w:val="0"/>
        <w:shd w:val="clear" w:color="auto" w:fill="auto"/>
        <w:bidi w:val="0"/>
        <w:spacing w:before="0" w:after="160" w:line="259" w:lineRule="auto"/>
        <w:ind w:left="0" w:right="0" w:firstLine="0"/>
        <w:jc w:val="both"/>
        <w:rPr>
          <w:sz w:val="26"/>
          <w:szCs w:val="26"/>
        </w:rPr>
      </w:pPr>
      <w:r>
        <w:rPr>
          <w:rStyle w:val="CharStyle11"/>
          <w:i/>
          <w:iCs/>
          <w:sz w:val="26"/>
          <w:szCs w:val="26"/>
        </w:rPr>
        <w:t>Дата начала исполнения контракта с даты заключения контракта</w:t>
      </w:r>
    </w:p>
    <w:p>
      <w:pPr>
        <w:pStyle w:val="Style10"/>
        <w:keepNext w:val="0"/>
        <w:keepLines w:val="0"/>
        <w:widowControl w:val="0"/>
        <w:shd w:val="clear" w:color="auto" w:fill="auto"/>
        <w:bidi w:val="0"/>
        <w:spacing w:before="0" w:after="60" w:line="259" w:lineRule="auto"/>
        <w:ind w:left="0" w:right="0" w:firstLine="0"/>
        <w:jc w:val="both"/>
        <w:rPr>
          <w:sz w:val="26"/>
          <w:szCs w:val="26"/>
        </w:rPr>
      </w:pPr>
      <w:r>
        <w:rPr>
          <w:rStyle w:val="CharStyle11"/>
          <w:i/>
          <w:iCs/>
          <w:sz w:val="26"/>
          <w:szCs w:val="26"/>
        </w:rPr>
        <w:t xml:space="preserve">Срок исполнения контракта </w:t>
      </w:r>
      <w:r>
        <w:rPr>
          <w:rStyle w:val="CharStyle11"/>
          <w:i/>
          <w:iCs/>
          <w:sz w:val="26"/>
          <w:szCs w:val="26"/>
          <w:lang w:val="en-US" w:eastAsia="en-US"/>
        </w:rPr>
        <w:t>31.10.2026».</w:t>
      </w:r>
    </w:p>
    <w:p>
      <w:pPr>
        <w:pStyle w:val="Style10"/>
        <w:keepNext w:val="0"/>
        <w:keepLines w:val="0"/>
        <w:widowControl w:val="0"/>
        <w:shd w:val="clear" w:color="auto" w:fill="auto"/>
        <w:bidi w:val="0"/>
        <w:spacing w:before="0" w:after="200" w:line="240" w:lineRule="auto"/>
        <w:ind w:left="0" w:right="0" w:firstLine="700"/>
        <w:jc w:val="both"/>
      </w:pPr>
      <w:r>
        <w:rPr>
          <w:rStyle w:val="CharStyle11"/>
        </w:rPr>
        <w:t>В свою очередь, Заявителем не приведено ни одного факта, подтверждающего его утверждение в указанной части, а приведенные доводы не содержат указания на конкретные нормы Закона о контрактной системе нарушенные Заказчиком.</w:t>
      </w:r>
    </w:p>
    <w:p>
      <w:pPr>
        <w:pStyle w:val="Style10"/>
        <w:keepNext w:val="0"/>
        <w:keepLines w:val="0"/>
        <w:widowControl w:val="0"/>
        <w:numPr>
          <w:ilvl w:val="0"/>
          <w:numId w:val="17"/>
        </w:numPr>
        <w:shd w:val="clear" w:color="auto" w:fill="auto"/>
        <w:tabs>
          <w:tab w:pos="1126" w:val="left"/>
        </w:tabs>
        <w:bidi w:val="0"/>
        <w:spacing w:before="0" w:after="0" w:line="240" w:lineRule="auto"/>
        <w:ind w:left="0" w:right="0" w:firstLine="700"/>
        <w:jc w:val="both"/>
      </w:pPr>
      <w:r>
        <w:rPr>
          <w:rStyle w:val="CharStyle11"/>
        </w:rPr>
        <w:t>Довод о том, что «</w:t>
      </w:r>
      <w:r>
        <w:rPr>
          <w:rStyle w:val="CharStyle11"/>
          <w:i/>
          <w:iCs/>
        </w:rPr>
        <w:t>по результатам торгов подана одна заявка, что порождает риторику об ограничении конкуренции</w:t>
      </w:r>
      <w:r>
        <w:rPr>
          <w:rStyle w:val="CharStyle11"/>
        </w:rPr>
        <w:t>» является надуманным и противоречащим реальной ситуации.</w:t>
      </w:r>
    </w:p>
    <w:p>
      <w:pPr>
        <w:pStyle w:val="Style10"/>
        <w:keepNext w:val="0"/>
        <w:keepLines w:val="0"/>
        <w:widowControl w:val="0"/>
        <w:shd w:val="clear" w:color="auto" w:fill="auto"/>
        <w:bidi w:val="0"/>
        <w:spacing w:before="0" w:after="200" w:line="240" w:lineRule="auto"/>
        <w:ind w:left="0" w:right="0" w:firstLine="700"/>
        <w:jc w:val="both"/>
      </w:pPr>
      <w:r>
        <w:rPr>
          <w:rStyle w:val="CharStyle11"/>
        </w:rPr>
        <w:t xml:space="preserve">Просьба о привлечении Заказчика к ответственности за несвоевременное направление в контрольный орган возражения на жалобу носит абстрактный характер и признается Комиссией УФАС </w:t>
      </w:r>
      <w:r>
        <w:rPr>
          <w:rStyle w:val="CharStyle11"/>
          <w:b/>
          <w:bCs/>
        </w:rPr>
        <w:t>несостоятельной</w:t>
      </w:r>
      <w:r>
        <w:rPr>
          <w:rStyle w:val="CharStyle11"/>
        </w:rPr>
        <w:t>.</w:t>
      </w:r>
    </w:p>
    <w:p>
      <w:pPr>
        <w:pStyle w:val="Style10"/>
        <w:keepNext w:val="0"/>
        <w:keepLines w:val="0"/>
        <w:widowControl w:val="0"/>
        <w:numPr>
          <w:ilvl w:val="0"/>
          <w:numId w:val="17"/>
        </w:numPr>
        <w:shd w:val="clear" w:color="auto" w:fill="auto"/>
        <w:tabs>
          <w:tab w:pos="1131" w:val="left"/>
        </w:tabs>
        <w:bidi w:val="0"/>
        <w:spacing w:before="0" w:after="200" w:line="240" w:lineRule="auto"/>
        <w:ind w:left="0" w:right="0" w:firstLine="700"/>
        <w:jc w:val="both"/>
      </w:pPr>
      <w:r>
        <w:rPr>
          <w:rStyle w:val="CharStyle11"/>
        </w:rPr>
        <w:t>Заявителем изложена просьба о выделении в отдельное производство дела по признакам нарушения положений №135-ФЗ Федерального закона «О защите конкуренции». Комиссия УФАС отмечает, что рассмотрение жалоб в рамках Закона о контрактной системе не предусматривает рассмотрения вопросов, связанных с нарушением антимонопольного законодательства. Для целей правоприменения в сфере антимонопольного регулирования установлен самостоятельный порядок подачи и рассмотрения заявлений о нарушении антимонопольного законодательства, в том числе о недобросовестной конкуренции и злоупотреблении доминирующим положением.</w:t>
      </w:r>
    </w:p>
    <w:p>
      <w:pPr>
        <w:pStyle w:val="Style10"/>
        <w:keepNext w:val="0"/>
        <w:keepLines w:val="0"/>
        <w:widowControl w:val="0"/>
        <w:shd w:val="clear" w:color="auto" w:fill="auto"/>
        <w:bidi w:val="0"/>
        <w:spacing w:before="0" w:after="180" w:line="240" w:lineRule="auto"/>
        <w:ind w:left="0" w:right="0" w:firstLine="700"/>
        <w:jc w:val="both"/>
      </w:pPr>
      <w:r>
        <w:rPr>
          <w:rStyle w:val="CharStyle11"/>
        </w:rPr>
        <w:t xml:space="preserve">Что касается просьбы Заявителя о направлении материалов дела в контрольный финансовый орган для проведения проверки обоснования начальной (максимальной) цены контракта (далее </w:t>
      </w:r>
      <w:r>
        <w:rPr>
          <w:rStyle w:val="CharStyle11"/>
          <w:lang w:val="en-US" w:eastAsia="en-US"/>
        </w:rPr>
        <w:t xml:space="preserve">– </w:t>
      </w:r>
      <w:r>
        <w:rPr>
          <w:rStyle w:val="CharStyle11"/>
        </w:rPr>
        <w:t xml:space="preserve">НМЦК) и выполнения постановления </w:t>
      </w:r>
      <w:r>
        <w:rPr>
          <w:rStyle w:val="CharStyle11"/>
          <w:lang w:val="en-US" w:eastAsia="en-US"/>
        </w:rPr>
        <w:t xml:space="preserve">№2014, </w:t>
      </w:r>
      <w:r>
        <w:rPr>
          <w:rStyle w:val="CharStyle11"/>
        </w:rPr>
        <w:t>Комиссия УФАС сообщает следующее.</w:t>
      </w:r>
    </w:p>
    <w:p>
      <w:pPr>
        <w:pStyle w:val="Style10"/>
        <w:keepNext w:val="0"/>
        <w:keepLines w:val="0"/>
        <w:widowControl w:val="0"/>
        <w:shd w:val="clear" w:color="auto" w:fill="auto"/>
        <w:bidi w:val="0"/>
        <w:spacing w:before="0" w:after="0" w:line="240" w:lineRule="auto"/>
        <w:ind w:left="0" w:right="0" w:firstLine="640"/>
        <w:jc w:val="both"/>
      </w:pPr>
      <w:r>
        <w:rPr>
          <w:rStyle w:val="CharStyle11"/>
        </w:rPr>
        <w:t>Комиссия УФАС установила, что основания для данной передачи в виде информации, указывающей на наличие признаков нарушения законодательства Российской Федерации и иных нормативных правовых актов о контрактной системе в сфере закупок, равно как и детальные и конкретные сведения о нарушениях порядка определения и обоснования НМЦК в обращении ИП Кравченко А.В., отсутствуют. Однако Заявитель также не лишен права подачи заявления в соответствующие органы.</w:t>
      </w:r>
    </w:p>
    <w:p>
      <w:pPr>
        <w:pStyle w:val="Style10"/>
        <w:keepNext w:val="0"/>
        <w:keepLines w:val="0"/>
        <w:widowControl w:val="0"/>
        <w:shd w:val="clear" w:color="auto" w:fill="auto"/>
        <w:bidi w:val="0"/>
        <w:spacing w:before="0" w:after="200" w:line="240" w:lineRule="auto"/>
        <w:ind w:left="0" w:right="0" w:firstLine="640"/>
        <w:jc w:val="both"/>
      </w:pPr>
      <w:r>
        <w:rPr>
          <w:rStyle w:val="CharStyle11"/>
        </w:rPr>
        <w:t xml:space="preserve">В части просьбы Заявителя о проверке исполнения требований Постановления Правительства Российской Федерации от </w:t>
      </w:r>
      <w:r>
        <w:rPr>
          <w:rStyle w:val="CharStyle11"/>
          <w:lang w:val="en-US" w:eastAsia="en-US"/>
        </w:rPr>
        <w:t xml:space="preserve">03.12.2020 №2014 </w:t>
      </w:r>
      <w:r>
        <w:rPr>
          <w:rStyle w:val="CharStyle11"/>
        </w:rPr>
        <w:t xml:space="preserve">«О минимальной обязательной доле закупок российских товаров и ее достижении заказчиком»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№2014) </w:t>
      </w:r>
      <w:r>
        <w:rPr>
          <w:rStyle w:val="CharStyle11"/>
        </w:rPr>
        <w:t xml:space="preserve">Комиссия УФАС отмечает, что согласно пункту </w:t>
      </w:r>
      <w:r>
        <w:rPr>
          <w:rStyle w:val="CharStyle11"/>
          <w:lang w:val="en-US" w:eastAsia="en-US"/>
        </w:rPr>
        <w:t xml:space="preserve">29 </w:t>
      </w:r>
      <w:r>
        <w:rPr>
          <w:rStyle w:val="CharStyle11"/>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11"/>
          <w:lang w:val="en-US" w:eastAsia="en-US"/>
        </w:rPr>
        <w:t xml:space="preserve">№1875 </w:t>
      </w:r>
      <w:r>
        <w:rPr>
          <w:rStyle w:val="CharStyle11"/>
        </w:rPr>
        <w:t xml:space="preserve">Постановление </w:t>
      </w:r>
      <w:r>
        <w:rPr>
          <w:rStyle w:val="CharStyle11"/>
          <w:lang w:val="en-US" w:eastAsia="en-US"/>
        </w:rPr>
        <w:t xml:space="preserve">№2014 </w:t>
      </w:r>
      <w:r>
        <w:rPr>
          <w:rStyle w:val="CharStyle11"/>
        </w:rPr>
        <w:t xml:space="preserve">признано утратившим силу с </w:t>
      </w:r>
      <w:r>
        <w:rPr>
          <w:rStyle w:val="CharStyle11"/>
          <w:lang w:val="en-US" w:eastAsia="en-US"/>
        </w:rPr>
        <w:t>01.01.2025.</w:t>
      </w:r>
    </w:p>
    <w:p>
      <w:pPr>
        <w:pStyle w:val="Style10"/>
        <w:keepNext w:val="0"/>
        <w:keepLines w:val="0"/>
        <w:widowControl w:val="0"/>
        <w:shd w:val="clear" w:color="auto" w:fill="auto"/>
        <w:bidi w:val="0"/>
        <w:spacing w:before="0" w:after="0" w:line="240" w:lineRule="auto"/>
        <w:ind w:left="0" w:right="0" w:firstLine="640"/>
        <w:jc w:val="both"/>
      </w:pPr>
      <w:r>
        <w:rPr>
          <w:rStyle w:val="CharStyle11"/>
        </w:rPr>
        <w:t>В части просьбы об истребовании у Заказчика оригиналов запросов российским производителям (минимум двум, находящимся в Реестре российской радиоэлектронной продукции и оригиналов уведомлений о вручении запроса Почты России на физическом бумажном носителе, Комиссия УФАС отмечает, что Закон о контрактной системе, равно как и иные нормативные правовые акты, не содержит требований о необходимости получения и представления Заказчиком подобных документов.</w:t>
      </w:r>
    </w:p>
    <w:p>
      <w:pPr>
        <w:pStyle w:val="Style10"/>
        <w:keepNext w:val="0"/>
        <w:keepLines w:val="0"/>
        <w:widowControl w:val="0"/>
        <w:shd w:val="clear" w:color="auto" w:fill="auto"/>
        <w:bidi w:val="0"/>
        <w:spacing w:before="0" w:after="200" w:line="240" w:lineRule="auto"/>
        <w:ind w:left="0" w:right="0" w:firstLine="640"/>
        <w:jc w:val="both"/>
      </w:pPr>
      <w:r>
        <w:rPr>
          <w:rStyle w:val="CharStyle11"/>
        </w:rPr>
        <w:t>Заявителем не приведено ни одной правовой нормы, предусматривающей обязанность Заказчика совершать названные действия, в том числе, в рамках обоснования начальной (максимальной) цены контракта. Более того, действующее законодательство не содержит нормы, которая придавала бы безусловную юридическую силу именно бумажным копиям с печатями, в отрыве от электронных версий документов с ЭЦП.</w:t>
      </w:r>
    </w:p>
    <w:p>
      <w:pPr>
        <w:pStyle w:val="Style10"/>
        <w:keepNext w:val="0"/>
        <w:keepLines w:val="0"/>
        <w:widowControl w:val="0"/>
        <w:shd w:val="clear" w:color="auto" w:fill="auto"/>
        <w:bidi w:val="0"/>
        <w:spacing w:before="0" w:after="0" w:line="240" w:lineRule="auto"/>
        <w:ind w:left="0" w:right="0" w:firstLine="640"/>
        <w:jc w:val="both"/>
      </w:pPr>
      <w:r>
        <w:rPr>
          <w:rStyle w:val="CharStyle11"/>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Заявителя не может быть принята во внимание, поскольку предметом рассмотрения Комиссии УФАС является конкретная закупка, Комиссия обязана принимать решение в отношении конкретных обстоятельств каждой конкретной закупки, Комиссии УФАС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Заявителя, признанных необоснованными.</w:t>
      </w:r>
    </w:p>
    <w:p>
      <w:pPr>
        <w:pStyle w:val="Style10"/>
        <w:keepNext w:val="0"/>
        <w:keepLines w:val="0"/>
        <w:widowControl w:val="0"/>
        <w:shd w:val="clear" w:color="auto" w:fill="auto"/>
        <w:bidi w:val="0"/>
        <w:spacing w:before="0" w:after="200" w:line="240" w:lineRule="auto"/>
        <w:ind w:left="0" w:right="0" w:firstLine="640"/>
        <w:jc w:val="both"/>
      </w:pPr>
      <w:r>
        <w:rPr>
          <w:rStyle w:val="CharStyle11"/>
        </w:rPr>
        <w:t xml:space="preserve">Также Комиссия УФАС отмечает, что доводы жалобы Заявителя не содержат указания на конкретные действия Заказчика, которые нарушают его законные права и интересы; не подтверждаются приведенными данными анализа проведенного Заявителем, или иными доказательствами, допустимыми в порядке главы </w:t>
      </w:r>
      <w:r>
        <w:rPr>
          <w:rStyle w:val="CharStyle11"/>
          <w:lang w:val="en-US" w:eastAsia="en-US"/>
        </w:rPr>
        <w:t xml:space="preserve">6 </w:t>
      </w:r>
      <w:r>
        <w:rPr>
          <w:rStyle w:val="CharStyle11"/>
        </w:rPr>
        <w:t>Закона о контрактной системе; во многом основаны на домыслах и носят</w:t>
      </w:r>
      <w:r>
        <w:br w:type="page"/>
      </w:r>
    </w:p>
    <w:p>
      <w:pPr>
        <w:pStyle w:val="Style10"/>
        <w:keepNext w:val="0"/>
        <w:keepLines w:val="0"/>
        <w:widowControl w:val="0"/>
        <w:shd w:val="clear" w:color="auto" w:fill="auto"/>
        <w:bidi w:val="0"/>
        <w:spacing w:before="0" w:after="0" w:line="240" w:lineRule="auto"/>
        <w:ind w:left="0" w:right="0" w:firstLine="0"/>
        <w:jc w:val="both"/>
      </w:pPr>
      <w:r>
        <w:rPr>
          <w:rStyle w:val="CharStyle11"/>
        </w:rPr>
        <w:t>абстрактный характер.</w:t>
      </w:r>
    </w:p>
    <w:p>
      <w:pPr>
        <w:pStyle w:val="Style10"/>
        <w:keepNext w:val="0"/>
        <w:keepLines w:val="0"/>
        <w:widowControl w:val="0"/>
        <w:shd w:val="clear" w:color="auto" w:fill="auto"/>
        <w:bidi w:val="0"/>
        <w:spacing w:before="0" w:after="0" w:line="240" w:lineRule="auto"/>
        <w:ind w:left="0" w:right="0" w:firstLine="640"/>
        <w:jc w:val="both"/>
      </w:pPr>
      <w:r>
        <w:rPr>
          <w:rStyle w:val="CharStyle11"/>
        </w:rPr>
        <w:t xml:space="preserve">Руководствуясь статьями </w:t>
      </w:r>
      <w:r>
        <w:rPr>
          <w:rStyle w:val="CharStyle11"/>
          <w:lang w:val="en-US" w:eastAsia="en-US"/>
        </w:rPr>
        <w:t xml:space="preserve">99, 106 </w:t>
      </w:r>
      <w:r>
        <w:rPr>
          <w:rStyle w:val="CharStyle11"/>
        </w:rPr>
        <w:t xml:space="preserve">Федерального закона от </w:t>
      </w:r>
      <w:r>
        <w:rPr>
          <w:rStyle w:val="CharStyle11"/>
          <w:lang w:val="en-US" w:eastAsia="en-US"/>
        </w:rPr>
        <w:t xml:space="preserve">05.04.2013 </w:t>
      </w:r>
      <w:r>
        <w:rPr>
          <w:rStyle w:val="CharStyle11"/>
        </w:rPr>
        <w:t>№44-ФЗ «О контрактной системе в сфере закупок товаров, работ, услуг для государственных и муниципальных нужд», Комиссия УФАС</w:t>
      </w:r>
    </w:p>
    <w:p>
      <w:pPr>
        <w:pStyle w:val="Style10"/>
        <w:keepNext w:val="0"/>
        <w:keepLines w:val="0"/>
        <w:widowControl w:val="0"/>
        <w:shd w:val="clear" w:color="auto" w:fill="auto"/>
        <w:bidi w:val="0"/>
        <w:spacing w:before="0" w:after="0" w:line="240" w:lineRule="auto"/>
        <w:ind w:left="0" w:right="0" w:firstLine="0"/>
        <w:jc w:val="center"/>
      </w:pPr>
      <w:r>
        <w:rPr>
          <w:rStyle w:val="CharStyle11"/>
        </w:rPr>
        <w:t>РЕШИЛА:</w:t>
      </w:r>
    </w:p>
    <w:p>
      <w:pPr>
        <w:pStyle w:val="Style10"/>
        <w:keepNext w:val="0"/>
        <w:keepLines w:val="0"/>
        <w:widowControl w:val="0"/>
        <w:shd w:val="clear" w:color="auto" w:fill="auto"/>
        <w:bidi w:val="0"/>
        <w:spacing w:before="0" w:after="80" w:line="240" w:lineRule="auto"/>
        <w:ind w:left="0" w:right="0" w:firstLine="640"/>
        <w:jc w:val="both"/>
      </w:pPr>
      <w:r>
        <w:rPr>
          <w:rStyle w:val="CharStyle11"/>
        </w:rPr>
        <w:t>Признать жалобу ИП Кравченко А.В. необоснованной.</w:t>
      </w:r>
    </w:p>
    <w:p>
      <w:pPr>
        <w:pStyle w:val="Style10"/>
        <w:keepNext w:val="0"/>
        <w:keepLines w:val="0"/>
        <w:widowControl w:val="0"/>
        <w:shd w:val="clear" w:color="auto" w:fill="auto"/>
        <w:bidi w:val="0"/>
        <w:spacing w:before="0" w:after="0" w:line="240" w:lineRule="auto"/>
        <w:ind w:left="0" w:right="0" w:firstLine="640"/>
        <w:jc w:val="both"/>
      </w:pPr>
      <w:r>
        <w:rPr>
          <w:rStyle w:val="CharStyle11"/>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29"/>
          <w:footerReference w:type="default" r:id="rId30"/>
          <w:headerReference w:type="even" r:id="rId31"/>
          <w:footerReference w:type="even" r:id="rId32"/>
          <w:footnotePr>
            <w:pos w:val="pageBottom"/>
            <w:numFmt w:val="decimal"/>
            <w:numRestart w:val="continuous"/>
          </w:footnotePr>
          <w:pgSz w:w="11900" w:h="16840"/>
          <w:pgMar w:top="1633" w:right="755" w:bottom="1326" w:left="1066" w:header="0" w:footer="3" w:gutter="0"/>
          <w:cols w:space="720"/>
          <w:noEndnote/>
          <w:rtlGutter w:val="0"/>
          <w:docGrid w:linePitch="360"/>
        </w:sectPr>
      </w:pPr>
      <w:r>
        <mc:AlternateContent>
          <mc:Choice Requires="wps">
            <w:drawing>
              <wp:anchor distT="304800" distB="219075" distL="0" distR="0" simplePos="0" relativeHeight="125829379" behindDoc="0" locked="0" layoutInCell="1" allowOverlap="1">
                <wp:simplePos x="0" y="0"/>
                <wp:positionH relativeFrom="page">
                  <wp:posOffset>734695</wp:posOffset>
                </wp:positionH>
                <wp:positionV relativeFrom="paragraph">
                  <wp:posOffset>304800</wp:posOffset>
                </wp:positionV>
                <wp:extent cx="1856105" cy="250190"/>
                <wp:wrapTopAndBottom/>
                <wp:docPr id="45" name="Shape 45"/>
                <a:graphic xmlns:a="http://schemas.openxmlformats.org/drawingml/2006/main">
                  <a:graphicData uri="http://schemas.microsoft.com/office/word/2010/wordprocessingShape">
                    <wps:wsp>
                      <wps:cNvSpPr txBox="1"/>
                      <wps:spPr>
                        <a:xfrm>
                          <a:ext cx="185610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71" type="#_x0000_t202" style="position:absolute;margin-left:57.850000000000001pt;margin-top:24.pt;width:146.15000000000001pt;height:19.699999999999999pt;z-index:-125829374;mso-wrap-distance-left:0;mso-wrap-distance-top:24.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374650" distB="0" distL="0" distR="1786255" simplePos="0" relativeHeight="125829381" behindDoc="0" locked="0" layoutInCell="1" allowOverlap="1">
            <wp:simplePos x="0" y="0"/>
            <wp:positionH relativeFrom="page">
              <wp:posOffset>2846705</wp:posOffset>
            </wp:positionH>
            <wp:positionV relativeFrom="paragraph">
              <wp:posOffset>374650</wp:posOffset>
            </wp:positionV>
            <wp:extent cx="359410" cy="402590"/>
            <wp:wrapTopAndBottom/>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33"/>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3267075</wp:posOffset>
                </wp:positionH>
                <wp:positionV relativeFrom="paragraph">
                  <wp:posOffset>466090</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57.25pt;margin-top:36.700000000000003pt;width:135.59999999999999pt;height:20.400000000000002pt;z-index:251657729;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19075" distL="0" distR="0" simplePos="0" relativeHeight="125829382" behindDoc="0" locked="0" layoutInCell="1" allowOverlap="1">
                <wp:simplePos x="0" y="0"/>
                <wp:positionH relativeFrom="page">
                  <wp:posOffset>6172200</wp:posOffset>
                </wp:positionH>
                <wp:positionV relativeFrom="paragraph">
                  <wp:posOffset>304800</wp:posOffset>
                </wp:positionV>
                <wp:extent cx="862330" cy="250190"/>
                <wp:wrapTopAndBottom/>
                <wp:docPr id="51" name="Shape 51"/>
                <a:graphic xmlns:a="http://schemas.openxmlformats.org/drawingml/2006/main">
                  <a:graphicData uri="http://schemas.microsoft.com/office/word/2010/wordprocessingShape">
                    <wps:wsp>
                      <wps:cNvSpPr txBox="1"/>
                      <wps:spPr>
                        <a:xfrm>
                          <a:ext cx="86233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А.Г. Жуков</w:t>
                            </w:r>
                          </w:p>
                        </w:txbxContent>
                      </wps:txbx>
                      <wps:bodyPr wrap="none" lIns="0" tIns="0" rIns="0" bIns="0">
                        <a:noAutoFit/>
                      </wps:bodyPr>
                    </wps:wsp>
                  </a:graphicData>
                </a:graphic>
              </wp:anchor>
            </w:drawing>
          </mc:Choice>
          <mc:Fallback>
            <w:pict>
              <v:shape id="_x0000_s1077" type="#_x0000_t202" style="position:absolute;margin-left:486.pt;margin-top:24.pt;width:67.900000000000006pt;height:19.699999999999999pt;z-index:-125829371;mso-wrap-distance-left:0;mso-wrap-distance-top:24.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А.Г. Жуков</w:t>
                      </w:r>
                    </w:p>
                  </w:txbxContent>
                </v:textbox>
                <w10:wrap type="topAndBottom" anchorx="page"/>
              </v:shape>
            </w:pict>
          </mc:Fallback>
        </mc:AlternateContent>
      </w:r>
    </w:p>
    <w:p>
      <w:pPr>
        <w:pStyle w:val="Style3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40"/>
          <w:color w:val="FFFFFF"/>
        </w:rPr>
        <w:t>СВЕДЕНИЯ О СЕРТИФИКАТЕ ЭП</w:t>
      </w:r>
    </w:p>
    <w:p>
      <w:pPr>
        <w:pStyle w:val="Style41"/>
        <w:keepNext w:val="0"/>
        <w:keepLines w:val="0"/>
        <w:widowControl w:val="0"/>
        <w:shd w:val="clear" w:color="auto" w:fill="auto"/>
        <w:bidi w:val="0"/>
        <w:spacing w:before="0" w:after="0" w:line="240" w:lineRule="auto"/>
        <w:ind w:left="0" w:right="0" w:firstLine="0"/>
        <w:jc w:val="center"/>
      </w:pPr>
      <w:r>
        <w:rPr>
          <w:rStyle w:val="CharStyle42"/>
        </w:rPr>
        <w:t xml:space="preserve">Кому выдан: </w:t>
      </w:r>
      <w:r>
        <w:rPr>
          <w:rStyle w:val="CharStyle42"/>
          <w:color w:val="000000"/>
        </w:rPr>
        <w:t>ЖУКОВ АЗАМАТ ГАСАНОВИЧ</w:t>
      </w:r>
    </w:p>
    <w:p>
      <w:pPr>
        <w:pStyle w:val="Style41"/>
        <w:keepNext w:val="0"/>
        <w:keepLines w:val="0"/>
        <w:widowControl w:val="0"/>
        <w:shd w:val="clear" w:color="auto" w:fill="auto"/>
        <w:bidi w:val="0"/>
        <w:spacing w:before="0" w:after="0" w:line="240" w:lineRule="auto"/>
        <w:ind w:left="0" w:right="0" w:firstLine="0"/>
        <w:jc w:val="center"/>
      </w:pPr>
      <w:r>
        <w:rPr>
          <w:rStyle w:val="CharStyle42"/>
        </w:rPr>
        <w:t xml:space="preserve">Сертификат </w:t>
      </w:r>
      <w:r>
        <w:rPr>
          <w:rStyle w:val="CharStyle42"/>
          <w:color w:val="292929"/>
        </w:rPr>
        <w:t xml:space="preserve">№ </w:t>
      </w:r>
      <w:r>
        <w:rPr>
          <w:rStyle w:val="CharStyle42"/>
          <w:lang w:val="en-US" w:eastAsia="en-US"/>
        </w:rPr>
        <w:t>4B9C8818528740555A2694AABD28237A</w:t>
      </w:r>
    </w:p>
    <w:p>
      <w:pPr>
        <w:pStyle w:val="Style41"/>
        <w:keepNext w:val="0"/>
        <w:keepLines w:val="0"/>
        <w:widowControl w:val="0"/>
        <w:shd w:val="clear" w:color="auto" w:fill="auto"/>
        <w:bidi w:val="0"/>
        <w:spacing w:before="0" w:after="0" w:line="240" w:lineRule="auto"/>
        <w:ind w:right="0" w:firstLine="0"/>
        <w:jc w:val="both"/>
      </w:pPr>
      <w:r>
        <w:rPr>
          <w:rStyle w:val="CharStyle42"/>
        </w:rPr>
        <w:t>Действителен с 21.05.2025 по 14.08.2026</w:t>
      </w:r>
    </w:p>
    <w:p>
      <w:pPr>
        <w:widowControl w:val="0"/>
        <w:spacing w:line="1" w:lineRule="exact"/>
        <w:sectPr>
          <w:footnotePr>
            <w:pos w:val="pageBottom"/>
            <w:numFmt w:val="decimal"/>
            <w:numRestart w:val="continuous"/>
          </w:footnotePr>
          <w:type w:val="continuous"/>
          <w:pgSz w:w="11900" w:h="16840"/>
          <w:pgMar w:top="1666" w:right="780" w:bottom="6927" w:left="1106" w:header="0" w:footer="3" w:gutter="0"/>
          <w:cols w:space="720"/>
          <w:noEndnote/>
          <w:rtlGutter w:val="0"/>
          <w:docGrid w:linePitch="360"/>
        </w:sectPr>
      </w:pPr>
      <w:r>
        <mc:AlternateContent>
          <mc:Choice Requires="wps">
            <w:drawing>
              <wp:anchor distT="88900" distB="192405" distL="0" distR="0" simplePos="0" relativeHeight="125829384" behindDoc="0" locked="0" layoutInCell="1" allowOverlap="1">
                <wp:simplePos x="0" y="0"/>
                <wp:positionH relativeFrom="page">
                  <wp:posOffset>731520</wp:posOffset>
                </wp:positionH>
                <wp:positionV relativeFrom="paragraph">
                  <wp:posOffset>88900</wp:posOffset>
                </wp:positionV>
                <wp:extent cx="1371600" cy="252730"/>
                <wp:wrapTopAndBottom/>
                <wp:docPr id="53" name="Shape 53"/>
                <a:graphic xmlns:a="http://schemas.openxmlformats.org/drawingml/2006/main">
                  <a:graphicData uri="http://schemas.microsoft.com/office/word/2010/wordprocessingShape">
                    <wps:wsp>
                      <wps:cNvSpPr txBox="1"/>
                      <wps:spPr>
                        <a:xfrm>
                          <a:ext cx="13716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wps:txbx>
                      <wps:bodyPr wrap="none" lIns="0" tIns="0" rIns="0" bIns="0">
                        <a:noAutoFit/>
                      </wps:bodyPr>
                    </wps:wsp>
                  </a:graphicData>
                </a:graphic>
              </wp:anchor>
            </w:drawing>
          </mc:Choice>
          <mc:Fallback>
            <w:pict>
              <v:shape id="_x0000_s1079" type="#_x0000_t202" style="position:absolute;margin-left:57.600000000000001pt;margin-top:7.pt;width:108.pt;height:19.900000000000002pt;z-index:-125829369;mso-wrap-distance-left:0;mso-wrap-distance-top:7.pt;mso-wrap-distance-right:0;mso-wrap-distance-bottom:15.1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v:textbox>
                <w10:wrap type="topAndBottom" anchorx="page"/>
              </v:shape>
            </w:pict>
          </mc:Fallback>
        </mc:AlternateContent>
      </w:r>
      <w:r>
        <w:drawing>
          <wp:anchor distT="189230" distB="635" distL="0" distR="1816735" simplePos="0" relativeHeight="125829386" behindDoc="0" locked="0" layoutInCell="1" allowOverlap="1">
            <wp:simplePos x="0" y="0"/>
            <wp:positionH relativeFrom="page">
              <wp:posOffset>2877185</wp:posOffset>
            </wp:positionH>
            <wp:positionV relativeFrom="paragraph">
              <wp:posOffset>189230</wp:posOffset>
            </wp:positionV>
            <wp:extent cx="298450" cy="347345"/>
            <wp:wrapTopAndBottom/>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3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3267075</wp:posOffset>
                </wp:positionH>
                <wp:positionV relativeFrom="paragraph">
                  <wp:posOffset>250190</wp:posOffset>
                </wp:positionV>
                <wp:extent cx="1722120" cy="259080"/>
                <wp:wrapNone/>
                <wp:docPr id="57" name="Shape 5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3" type="#_x0000_t202" style="position:absolute;margin-left:257.25pt;margin-top:19.699999999999999pt;width:135.59999999999999pt;height:20.400000000000002pt;z-index:251657731;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192405" distL="0" distR="0" simplePos="0" relativeHeight="125829387" behindDoc="0" locked="0" layoutInCell="1" allowOverlap="1">
                <wp:simplePos x="0" y="0"/>
                <wp:positionH relativeFrom="page">
                  <wp:posOffset>6172200</wp:posOffset>
                </wp:positionH>
                <wp:positionV relativeFrom="paragraph">
                  <wp:posOffset>88900</wp:posOffset>
                </wp:positionV>
                <wp:extent cx="862330" cy="252730"/>
                <wp:wrapTopAndBottom/>
                <wp:docPr id="59" name="Shape 59"/>
                <a:graphic xmlns:a="http://schemas.openxmlformats.org/drawingml/2006/main">
                  <a:graphicData uri="http://schemas.microsoft.com/office/word/2010/wordprocessingShape">
                    <wps:wsp>
                      <wps:cNvSpPr txBox="1"/>
                      <wps:spPr>
                        <a:xfrm>
                          <a:ext cx="86233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Р.Х. Блягоз</w:t>
                            </w:r>
                          </w:p>
                        </w:txbxContent>
                      </wps:txbx>
                      <wps:bodyPr wrap="none" lIns="0" tIns="0" rIns="0" bIns="0">
                        <a:noAutoFit/>
                      </wps:bodyPr>
                    </wps:wsp>
                  </a:graphicData>
                </a:graphic>
              </wp:anchor>
            </w:drawing>
          </mc:Choice>
          <mc:Fallback>
            <w:pict>
              <v:shape id="_x0000_s1085" type="#_x0000_t202" style="position:absolute;margin-left:486.pt;margin-top:7.pt;width:67.900000000000006pt;height:19.900000000000002pt;z-index:-125829366;mso-wrap-distance-left:0;mso-wrap-distance-top:7.pt;mso-wrap-distance-right:0;mso-wrap-distance-bottom:15.1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Р.Х. Блягоз</w:t>
                      </w:r>
                    </w:p>
                  </w:txbxContent>
                </v:textbox>
                <w10:wrap type="topAndBottom" anchorx="page"/>
              </v:shape>
            </w:pict>
          </mc:Fallback>
        </mc:AlternateContent>
      </w:r>
    </w:p>
    <w:p>
      <w:pPr>
        <w:widowControl w:val="0"/>
        <w:spacing w:line="1" w:lineRule="exact"/>
      </w:pPr>
      <w:r>
        <w:drawing>
          <wp:anchor distT="0" distB="0" distL="114300" distR="1900555" simplePos="0" relativeHeight="125829389" behindDoc="0" locked="0" layoutInCell="1" allowOverlap="1">
            <wp:simplePos x="0" y="0"/>
            <wp:positionH relativeFrom="page">
              <wp:posOffset>2816225</wp:posOffset>
            </wp:positionH>
            <wp:positionV relativeFrom="paragraph">
              <wp:posOffset>652145</wp:posOffset>
            </wp:positionV>
            <wp:extent cx="389890" cy="554990"/>
            <wp:wrapSquare wrapText="right"/>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37"/>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3307080</wp:posOffset>
                </wp:positionH>
                <wp:positionV relativeFrom="paragraph">
                  <wp:posOffset>1090930</wp:posOffset>
                </wp:positionV>
                <wp:extent cx="1283335" cy="100330"/>
                <wp:wrapNone/>
                <wp:docPr id="63" name="Shape 6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3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6"/>
                                <w:rFonts w:ascii="Times New Roman" w:eastAsia="Times New Roman" w:hAnsi="Times New Roman" w:cs="Times New Roman"/>
                                <w:color w:val="FFFFFF"/>
                                <w:sz w:val="12"/>
                                <w:szCs w:val="12"/>
                              </w:rPr>
                              <w:t>СВЕДЕНИЯ О СЕРТИФИКАТЕ ЭП</w:t>
                            </w:r>
                          </w:p>
                        </w:txbxContent>
                      </wps:txbx>
                      <wps:bodyPr lIns="0" tIns="0" rIns="0" bIns="0">
                        <a:noAutoFit/>
                      </wps:bodyPr>
                    </wps:wsp>
                  </a:graphicData>
                </a:graphic>
              </wp:anchor>
            </w:drawing>
          </mc:Choice>
          <mc:Fallback>
            <w:pict>
              <v:shape id="_x0000_s1089" type="#_x0000_t202" style="position:absolute;margin-left:260.39999999999998pt;margin-top:85.900000000000006pt;width:101.05pt;height:7.9000000000000004pt;z-index:251657733;mso-wrap-distance-left:0;mso-wrap-distance-right:0;mso-position-horizontal-relative:page" filled="f" stroked="f">
                <v:textbox inset="0,0,0,0">
                  <w:txbxContent>
                    <w:p>
                      <w:pPr>
                        <w:pStyle w:val="Style3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6"/>
                          <w:rFonts w:ascii="Times New Roman" w:eastAsia="Times New Roman" w:hAnsi="Times New Roman" w:cs="Times New Roman"/>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3267075</wp:posOffset>
                </wp:positionH>
                <wp:positionV relativeFrom="paragraph">
                  <wp:posOffset>774065</wp:posOffset>
                </wp:positionV>
                <wp:extent cx="1722120" cy="259080"/>
                <wp:wrapNone/>
                <wp:docPr id="65" name="Shape 6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91" type="#_x0000_t202" style="position:absolute;margin-left:257.25pt;margin-top:60.950000000000003pt;width:135.59999999999999pt;height:20.400000000000002pt;z-index:251657735;mso-wrap-distance-left:0;mso-wrap-distance-right:0;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r>
                        <w:rPr>
                          <w:rStyle w:val="CharStyle3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40"/>
          <w:color w:val="FFFFFF"/>
        </w:rPr>
        <w:t>СВЕДЕНИЯ О СЕРТИФИКАТЕ ЭП</w:t>
      </w:r>
    </w:p>
    <w:p>
      <w:pPr>
        <w:pStyle w:val="Style39"/>
        <w:keepNext w:val="0"/>
        <w:keepLines w:val="0"/>
        <w:widowControl w:val="0"/>
        <w:shd w:val="clear" w:color="auto" w:fill="auto"/>
        <w:bidi w:val="0"/>
        <w:spacing w:before="0" w:after="0" w:line="240" w:lineRule="auto"/>
        <w:ind w:left="3400" w:right="0" w:firstLine="0"/>
        <w:jc w:val="left"/>
      </w:pPr>
      <w:r>
        <w:rPr>
          <w:rStyle w:val="CharStyle40"/>
          <w:rFonts w:ascii="Arial" w:eastAsia="Arial" w:hAnsi="Arial" w:cs="Arial"/>
          <w:color w:val="444444"/>
        </w:rPr>
        <w:t xml:space="preserve">Кому выдан: </w:t>
      </w:r>
      <w:r>
        <w:rPr>
          <w:rStyle w:val="CharStyle40"/>
          <w:color w:val="000000"/>
        </w:rPr>
        <w:t>Блягоз Рамазан Хазретович</w:t>
      </w:r>
    </w:p>
    <w:p>
      <w:pPr>
        <w:pStyle w:val="Style41"/>
        <w:keepNext w:val="0"/>
        <w:keepLines w:val="0"/>
        <w:widowControl w:val="0"/>
        <w:shd w:val="clear" w:color="auto" w:fill="auto"/>
        <w:bidi w:val="0"/>
        <w:spacing w:before="0" w:after="0" w:line="240" w:lineRule="auto"/>
        <w:ind w:right="0" w:firstLine="0"/>
        <w:jc w:val="left"/>
      </w:pPr>
      <w:r>
        <w:rPr>
          <w:rStyle w:val="CharStyle42"/>
        </w:rPr>
        <w:t xml:space="preserve">Сертификат </w:t>
      </w:r>
      <w:r>
        <w:rPr>
          <w:rStyle w:val="CharStyle42"/>
          <w:color w:val="292929"/>
        </w:rPr>
        <w:t xml:space="preserve">№ </w:t>
      </w:r>
      <w:r>
        <w:rPr>
          <w:rStyle w:val="CharStyle42"/>
        </w:rPr>
        <w:t>00А8363848АЕ8629В39ВВ1859061Е60А5В</w:t>
      </w:r>
    </w:p>
    <w:p>
      <w:pPr>
        <w:pStyle w:val="Style41"/>
        <w:keepNext w:val="0"/>
        <w:keepLines w:val="0"/>
        <w:widowControl w:val="0"/>
        <w:shd w:val="clear" w:color="auto" w:fill="auto"/>
        <w:bidi w:val="0"/>
        <w:spacing w:before="0" w:after="280" w:line="240" w:lineRule="auto"/>
        <w:ind w:right="0" w:firstLine="0"/>
        <w:jc w:val="left"/>
      </w:pPr>
      <w:r>
        <w:rPr>
          <w:rStyle w:val="CharStyle42"/>
        </w:rPr>
        <w:t xml:space="preserve">Действителен с 30.04.2026 </w:t>
      </w:r>
      <w:r>
        <w:rPr>
          <w:rStyle w:val="CharStyle42"/>
          <w:color w:val="5F5F5F"/>
        </w:rPr>
        <w:t xml:space="preserve">по </w:t>
      </w:r>
      <w:r>
        <w:rPr>
          <w:rStyle w:val="CharStyle42"/>
        </w:rPr>
        <w:t>24.07.2027</w:t>
      </w:r>
    </w:p>
    <w:p>
      <w:pPr>
        <w:pStyle w:val="Style10"/>
        <w:keepNext w:val="0"/>
        <w:keepLines w:val="0"/>
        <w:widowControl w:val="0"/>
        <w:shd w:val="clear" w:color="auto" w:fill="auto"/>
        <w:bidi w:val="0"/>
        <w:spacing w:before="0" w:after="640" w:line="240" w:lineRule="auto"/>
        <w:ind w:left="1300" w:right="0" w:firstLine="0"/>
        <w:jc w:val="left"/>
      </w:pPr>
      <w:r>
        <w:rPr>
          <w:rStyle w:val="CharStyle11"/>
        </w:rPr>
        <w:t>Н.А. Клюкина</w:t>
      </w:r>
    </w:p>
    <w:p>
      <w:pPr>
        <w:pStyle w:val="Style41"/>
        <w:keepNext w:val="0"/>
        <w:keepLines w:val="0"/>
        <w:widowControl w:val="0"/>
        <w:shd w:val="clear" w:color="auto" w:fill="auto"/>
        <w:bidi w:val="0"/>
        <w:spacing w:before="0" w:after="0" w:line="240" w:lineRule="auto"/>
        <w:ind w:right="0" w:firstLine="0"/>
        <w:jc w:val="left"/>
      </w:pPr>
      <w:r>
        <w:rPr>
          <w:rStyle w:val="CharStyle42"/>
        </w:rPr>
        <w:t xml:space="preserve">Кому выдан: </w:t>
      </w:r>
      <w:r>
        <w:rPr>
          <w:rStyle w:val="CharStyle42"/>
          <w:color w:val="000000"/>
        </w:rPr>
        <w:t>КЛЮКИНА НАТАЛЬЯ АЛЕКСАНДРОВНА</w:t>
      </w:r>
    </w:p>
    <w:p>
      <w:pPr>
        <w:pStyle w:val="Style41"/>
        <w:keepNext w:val="0"/>
        <w:keepLines w:val="0"/>
        <w:widowControl w:val="0"/>
        <w:shd w:val="clear" w:color="auto" w:fill="auto"/>
        <w:bidi w:val="0"/>
        <w:spacing w:before="0" w:after="0" w:line="240" w:lineRule="auto"/>
        <w:ind w:right="0" w:firstLine="0"/>
        <w:jc w:val="left"/>
      </w:pPr>
      <w:r>
        <w:rPr>
          <w:rStyle w:val="CharStyle42"/>
        </w:rPr>
        <w:t xml:space="preserve">Сертификат </w:t>
      </w:r>
      <w:r>
        <w:rPr>
          <w:rStyle w:val="CharStyle42"/>
          <w:color w:val="292929"/>
        </w:rPr>
        <w:t xml:space="preserve">№ </w:t>
      </w:r>
      <w:r>
        <w:rPr>
          <w:rStyle w:val="CharStyle42"/>
          <w:lang w:val="en-US" w:eastAsia="en-US"/>
        </w:rPr>
        <w:t>68C6EA25EAC373ADCFE5D67D96FA5798</w:t>
      </w:r>
    </w:p>
    <w:p>
      <w:pPr>
        <w:pStyle w:val="Style41"/>
        <w:keepNext w:val="0"/>
        <w:keepLines w:val="0"/>
        <w:widowControl w:val="0"/>
        <w:shd w:val="clear" w:color="auto" w:fill="auto"/>
        <w:bidi w:val="0"/>
        <w:spacing w:before="0" w:after="60" w:line="240" w:lineRule="auto"/>
        <w:ind w:right="0" w:firstLine="0"/>
        <w:jc w:val="left"/>
      </w:pPr>
      <w:r>
        <w:rPr>
          <w:rStyle w:val="CharStyle42"/>
        </w:rPr>
        <w:t xml:space="preserve">Действителен с 09.06.2025 </w:t>
      </w:r>
      <w:r>
        <w:rPr>
          <w:rStyle w:val="CharStyle42"/>
          <w:color w:val="5F5F5F"/>
        </w:rPr>
        <w:t xml:space="preserve">по </w:t>
      </w:r>
      <w:r>
        <w:rPr>
          <w:rStyle w:val="CharStyle42"/>
        </w:rPr>
        <w:t>02.09.2026</w:t>
      </w:r>
    </w:p>
    <w:sectPr>
      <w:footnotePr>
        <w:pos w:val="pageBottom"/>
        <w:numFmt w:val="decimal"/>
        <w:numRestart w:val="continuous"/>
      </w:footnotePr>
      <w:type w:val="continuous"/>
      <w:pgSz w:w="11900" w:h="16840"/>
      <w:pgMar w:top="1666" w:right="780"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9851390</wp:posOffset>
              </wp:positionV>
              <wp:extent cx="648970" cy="128270"/>
              <wp:wrapNone/>
              <wp:docPr id="3" name="Shape 3"/>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2026-1152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5pt;margin-top:775.70000000000005pt;width:51.10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2026-1152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648970" cy="128270"/>
              <wp:wrapNone/>
              <wp:docPr id="5" name="Shape 5"/>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2026-1152</w:t>
                          </w:r>
                        </w:p>
                      </w:txbxContent>
                    </wps:txbx>
                    <wps:bodyPr wrap="none" lIns="0" tIns="0" rIns="0" bIns="0">
                      <a:spAutoFit/>
                    </wps:bodyPr>
                  </wps:wsp>
                </a:graphicData>
              </a:graphic>
            </wp:anchor>
          </w:drawing>
        </mc:Choice>
        <mc:Fallback>
          <w:pict>
            <v:shape id="_x0000_s1031" type="#_x0000_t202" style="position:absolute;margin-left:57.25pt;margin-top:775.70000000000005pt;width:51.10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2026-1152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722630</wp:posOffset>
              </wp:positionH>
              <wp:positionV relativeFrom="page">
                <wp:posOffset>10033000</wp:posOffset>
              </wp:positionV>
              <wp:extent cx="648970" cy="128270"/>
              <wp:wrapNone/>
              <wp:docPr id="13" name="Shape 13"/>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39" type="#_x0000_t202" style="position:absolute;margin-left:56.899999999999999pt;margin-top:790.pt;width:51.100000000000001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722630</wp:posOffset>
              </wp:positionH>
              <wp:positionV relativeFrom="page">
                <wp:posOffset>10033000</wp:posOffset>
              </wp:positionV>
              <wp:extent cx="648970" cy="128270"/>
              <wp:wrapNone/>
              <wp:docPr id="17" name="Shape 17"/>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43" type="#_x0000_t202" style="position:absolute;margin-left:56.899999999999999pt;margin-top:790.pt;width:51.100000000000001pt;height:10.1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722630</wp:posOffset>
              </wp:positionH>
              <wp:positionV relativeFrom="page">
                <wp:posOffset>10033000</wp:posOffset>
              </wp:positionV>
              <wp:extent cx="648970" cy="128270"/>
              <wp:wrapNone/>
              <wp:docPr id="23" name="Shape 23"/>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49" type="#_x0000_t202" style="position:absolute;margin-left:56.899999999999999pt;margin-top:790.pt;width:51.100000000000001pt;height:10.1pt;z-index:-18874404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722630</wp:posOffset>
              </wp:positionH>
              <wp:positionV relativeFrom="page">
                <wp:posOffset>10033000</wp:posOffset>
              </wp:positionV>
              <wp:extent cx="648970" cy="128270"/>
              <wp:wrapNone/>
              <wp:docPr id="27" name="Shape 27"/>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53" type="#_x0000_t202" style="position:absolute;margin-left:56.899999999999999pt;margin-top:790.pt;width:51.100000000000001pt;height:10.1pt;z-index:-18874403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722630</wp:posOffset>
              </wp:positionH>
              <wp:positionV relativeFrom="page">
                <wp:posOffset>10033000</wp:posOffset>
              </wp:positionV>
              <wp:extent cx="648970" cy="128270"/>
              <wp:wrapNone/>
              <wp:docPr id="31" name="Shape 31"/>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57" type="#_x0000_t202" style="position:absolute;margin-left:56.899999999999999pt;margin-top:790.pt;width:51.100000000000001pt;height:10.1pt;z-index:-18874403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722630</wp:posOffset>
              </wp:positionH>
              <wp:positionV relativeFrom="page">
                <wp:posOffset>10033000</wp:posOffset>
              </wp:positionV>
              <wp:extent cx="648970" cy="128270"/>
              <wp:wrapNone/>
              <wp:docPr id="39" name="Shape 39"/>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65" type="#_x0000_t202" style="position:absolute;margin-left:56.899999999999999pt;margin-top:790.pt;width:51.100000000000001pt;height:10.1pt;z-index:-18874402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722630</wp:posOffset>
              </wp:positionH>
              <wp:positionV relativeFrom="page">
                <wp:posOffset>10033000</wp:posOffset>
              </wp:positionV>
              <wp:extent cx="648970" cy="128270"/>
              <wp:wrapNone/>
              <wp:docPr id="43" name="Shape 43"/>
              <a:graphic xmlns:a="http://schemas.openxmlformats.org/drawingml/2006/main">
                <a:graphicData uri="http://schemas.microsoft.com/office/word/2010/wordprocessingShape">
                  <wps:wsp>
                    <wps:cNvSpPr txBox="1"/>
                    <wps:spPr>
                      <a:xfrm>
                        <a:ext cx="64897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wps:txbx>
                    <wps:bodyPr wrap="none" lIns="0" tIns="0" rIns="0" bIns="0">
                      <a:spAutoFit/>
                    </wps:bodyPr>
                  </wps:wsp>
                </a:graphicData>
              </a:graphic>
            </wp:anchor>
          </w:drawing>
        </mc:Choice>
        <mc:Fallback>
          <w:pict>
            <v:shape id="_x0000_s1069" type="#_x0000_t202" style="position:absolute;margin-left:56.899999999999999pt;margin-top:790.pt;width:51.100000000000001pt;height:10.1pt;z-index:-18874402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2026-1152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3811270</wp:posOffset>
              </wp:positionH>
              <wp:positionV relativeFrom="page">
                <wp:posOffset>756285</wp:posOffset>
              </wp:positionV>
              <wp:extent cx="155575" cy="103505"/>
              <wp:wrapNone/>
              <wp:docPr id="7" name="Shape 7"/>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0.10000000000002pt;margin-top:59.550000000000004pt;width:12.25pt;height:8.15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3811270</wp:posOffset>
              </wp:positionH>
              <wp:positionV relativeFrom="page">
                <wp:posOffset>756285</wp:posOffset>
              </wp:positionV>
              <wp:extent cx="155575" cy="103505"/>
              <wp:wrapNone/>
              <wp:docPr id="9" name="Shape 9"/>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0.10000000000002pt;margin-top:59.550000000000004pt;width:12.25pt;height:8.1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3813175</wp:posOffset>
              </wp:positionH>
              <wp:positionV relativeFrom="page">
                <wp:posOffset>748665</wp:posOffset>
              </wp:positionV>
              <wp:extent cx="149225" cy="128270"/>
              <wp:wrapNone/>
              <wp:docPr id="11" name="Shape 11"/>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0.25pt;margin-top:58.950000000000003pt;width:11.75pt;height:10.1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3813175</wp:posOffset>
              </wp:positionH>
              <wp:positionV relativeFrom="page">
                <wp:posOffset>748665</wp:posOffset>
              </wp:positionV>
              <wp:extent cx="149225" cy="128270"/>
              <wp:wrapNone/>
              <wp:docPr id="15" name="Shape 15"/>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0.25pt;margin-top:58.950000000000003pt;width:11.75pt;height:10.1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3811270</wp:posOffset>
              </wp:positionH>
              <wp:positionV relativeFrom="page">
                <wp:posOffset>756285</wp:posOffset>
              </wp:positionV>
              <wp:extent cx="155575" cy="103505"/>
              <wp:wrapNone/>
              <wp:docPr id="19" name="Shape 19"/>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0.10000000000002pt;margin-top:59.550000000000004pt;width:12.25pt;height:8.1500000000000004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3813175</wp:posOffset>
              </wp:positionH>
              <wp:positionV relativeFrom="page">
                <wp:posOffset>748665</wp:posOffset>
              </wp:positionV>
              <wp:extent cx="149225" cy="128270"/>
              <wp:wrapNone/>
              <wp:docPr id="21" name="Shape 21"/>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0.25pt;margin-top:58.950000000000003pt;width:11.75pt;height:10.1pt;z-index:-18874404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3813175</wp:posOffset>
              </wp:positionH>
              <wp:positionV relativeFrom="page">
                <wp:posOffset>748665</wp:posOffset>
              </wp:positionV>
              <wp:extent cx="149225" cy="128270"/>
              <wp:wrapNone/>
              <wp:docPr id="25" name="Shape 25"/>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0.25pt;margin-top:58.950000000000003pt;width:11.75pt;height:10.1pt;z-index:-18874404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3813175</wp:posOffset>
              </wp:positionH>
              <wp:positionV relativeFrom="page">
                <wp:posOffset>748665</wp:posOffset>
              </wp:positionV>
              <wp:extent cx="149225" cy="128270"/>
              <wp:wrapNone/>
              <wp:docPr id="29" name="Shape 29"/>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0.25pt;margin-top:58.950000000000003pt;width:11.75pt;height:10.1pt;z-index:-18874403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3811270</wp:posOffset>
              </wp:positionH>
              <wp:positionV relativeFrom="page">
                <wp:posOffset>756285</wp:posOffset>
              </wp:positionV>
              <wp:extent cx="155575" cy="103505"/>
              <wp:wrapNone/>
              <wp:docPr id="33" name="Shape 33"/>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59" type="#_x0000_t202" style="position:absolute;margin-left:300.10000000000002pt;margin-top:59.550000000000004pt;width:12.25pt;height:8.1500000000000004pt;z-index:-18874403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3811270</wp:posOffset>
              </wp:positionH>
              <wp:positionV relativeFrom="page">
                <wp:posOffset>756285</wp:posOffset>
              </wp:positionV>
              <wp:extent cx="155575" cy="103505"/>
              <wp:wrapNone/>
              <wp:docPr id="35" name="Shape 35"/>
              <a:graphic xmlns:a="http://schemas.openxmlformats.org/drawingml/2006/main">
                <a:graphicData uri="http://schemas.microsoft.com/office/word/2010/wordprocessingShape">
                  <wps:wsp>
                    <wps:cNvSpPr txBox="1"/>
                    <wps:spPr>
                      <a:xfrm>
                        <a:ext cx="15557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61" type="#_x0000_t202" style="position:absolute;margin-left:300.10000000000002pt;margin-top:59.550000000000004pt;width:12.25pt;height:8.1500000000000004pt;z-index:-18874403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3813175</wp:posOffset>
              </wp:positionH>
              <wp:positionV relativeFrom="page">
                <wp:posOffset>748665</wp:posOffset>
              </wp:positionV>
              <wp:extent cx="149225" cy="128270"/>
              <wp:wrapNone/>
              <wp:docPr id="37" name="Shape 37"/>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63" type="#_x0000_t202" style="position:absolute;margin-left:300.25pt;margin-top:58.950000000000003pt;width:11.75pt;height:10.1pt;z-index:-18874402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3813175</wp:posOffset>
              </wp:positionH>
              <wp:positionV relativeFrom="page">
                <wp:posOffset>748665</wp:posOffset>
              </wp:positionV>
              <wp:extent cx="149225" cy="128270"/>
              <wp:wrapNone/>
              <wp:docPr id="41" name="Shape 41"/>
              <a:graphic xmlns:a="http://schemas.openxmlformats.org/drawingml/2006/main">
                <a:graphicData uri="http://schemas.microsoft.com/office/word/2010/wordprocessingShape">
                  <wps:wsp>
                    <wps:cNvSpPr txBox="1"/>
                    <wps:spPr>
                      <a:xfrm>
                        <a:ext cx="14922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67" type="#_x0000_t202" style="position:absolute;margin-left:300.25pt;margin-top:58.950000000000003pt;width:11.75pt;height:10.1pt;z-index:-18874402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Other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Heading #1_"/>
    <w:basedOn w:val="DefaultParagraphFont"/>
    <w:link w:val="Style20"/>
    <w:rPr>
      <w:rFonts w:ascii="Times New Roman" w:eastAsia="Times New Roman" w:hAnsi="Times New Roman" w:cs="Times New Roman"/>
      <w:b w:val="0"/>
      <w:bCs w:val="0"/>
      <w:i/>
      <w:iCs/>
      <w:smallCaps w:val="0"/>
      <w:strike w:val="0"/>
      <w:sz w:val="28"/>
      <w:szCs w:val="28"/>
      <w:u w:val="none"/>
    </w:rPr>
  </w:style>
  <w:style w:type="character" w:customStyle="1" w:styleId="CharStyle36">
    <w:name w:val="Picture caption_"/>
    <w:basedOn w:val="DefaultParagraphFont"/>
    <w:link w:val="Style35"/>
    <w:rPr>
      <w:rFonts w:ascii="Georgia" w:eastAsia="Georgia" w:hAnsi="Georgia" w:cs="Georgia"/>
      <w:b w:val="0"/>
      <w:bCs w:val="0"/>
      <w:i w:val="0"/>
      <w:iCs w:val="0"/>
      <w:smallCaps w:val="0"/>
      <w:strike w:val="0"/>
      <w:color w:val="292929"/>
      <w:sz w:val="11"/>
      <w:szCs w:val="11"/>
      <w:u w:val="none"/>
    </w:rPr>
  </w:style>
  <w:style w:type="character" w:customStyle="1" w:styleId="CharStyle40">
    <w:name w:val="Body text (5)_"/>
    <w:basedOn w:val="DefaultParagraphFont"/>
    <w:link w:val="Style39"/>
    <w:rPr>
      <w:rFonts w:ascii="Times New Roman" w:eastAsia="Times New Roman" w:hAnsi="Times New Roman" w:cs="Times New Roman"/>
      <w:b w:val="0"/>
      <w:bCs w:val="0"/>
      <w:i w:val="0"/>
      <w:iCs w:val="0"/>
      <w:smallCaps w:val="0"/>
      <w:strike w:val="0"/>
      <w:color w:val="EBEBEB"/>
      <w:sz w:val="12"/>
      <w:szCs w:val="12"/>
      <w:u w:val="none"/>
    </w:rPr>
  </w:style>
  <w:style w:type="character" w:customStyle="1" w:styleId="CharStyle42">
    <w:name w:val="Body text (2)_"/>
    <w:basedOn w:val="DefaultParagraphFont"/>
    <w:link w:val="Style41"/>
    <w:rPr>
      <w:rFonts w:ascii="Arial" w:eastAsia="Arial" w:hAnsi="Arial" w:cs="Arial"/>
      <w:b w:val="0"/>
      <w:bCs w:val="0"/>
      <w:i w:val="0"/>
      <w:iCs w:val="0"/>
      <w:smallCaps w:val="0"/>
      <w:strike w:val="0"/>
      <w:color w:val="444444"/>
      <w:sz w:val="12"/>
      <w:szCs w:val="12"/>
      <w:u w:val="none"/>
    </w:rPr>
  </w:style>
  <w:style w:type="paragraph" w:customStyle="1" w:styleId="Style2">
    <w:name w:val="Body text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Other"/>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Heading #1"/>
    <w:basedOn w:val="Normal"/>
    <w:link w:val="CharStyle21"/>
    <w:pPr>
      <w:widowControl w:val="0"/>
      <w:shd w:val="clear" w:color="auto" w:fill="auto"/>
      <w:ind w:firstLine="760"/>
      <w:outlineLvl w:val="0"/>
    </w:pPr>
    <w:rPr>
      <w:rFonts w:ascii="Times New Roman" w:eastAsia="Times New Roman" w:hAnsi="Times New Roman" w:cs="Times New Roman"/>
      <w:b w:val="0"/>
      <w:bCs w:val="0"/>
      <w:i/>
      <w:iCs/>
      <w:smallCaps w:val="0"/>
      <w:strike w:val="0"/>
      <w:sz w:val="28"/>
      <w:szCs w:val="28"/>
      <w:u w:val="none"/>
    </w:rPr>
  </w:style>
  <w:style w:type="paragraph" w:customStyle="1" w:styleId="Style35">
    <w:name w:val="Picture caption"/>
    <w:basedOn w:val="Normal"/>
    <w:link w:val="CharStyle3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9">
    <w:name w:val="Body text (5)"/>
    <w:basedOn w:val="Normal"/>
    <w:link w:val="CharStyle40"/>
    <w:pPr>
      <w:widowControl w:val="0"/>
      <w:shd w:val="clear" w:color="auto" w:fill="auto"/>
      <w:spacing w:after="100"/>
      <w:ind w:left="1700"/>
      <w:jc w:val="center"/>
    </w:pPr>
    <w:rPr>
      <w:rFonts w:ascii="Times New Roman" w:eastAsia="Times New Roman" w:hAnsi="Times New Roman" w:cs="Times New Roman"/>
      <w:b w:val="0"/>
      <w:bCs w:val="0"/>
      <w:i w:val="0"/>
      <w:iCs w:val="0"/>
      <w:smallCaps w:val="0"/>
      <w:strike w:val="0"/>
      <w:color w:val="EBEBEB"/>
      <w:sz w:val="12"/>
      <w:szCs w:val="12"/>
      <w:u w:val="none"/>
    </w:rPr>
  </w:style>
  <w:style w:type="paragraph" w:customStyle="1" w:styleId="Style41">
    <w:name w:val="Body text (2)"/>
    <w:basedOn w:val="Normal"/>
    <w:link w:val="CharStyle42"/>
    <w:pPr>
      <w:widowControl w:val="0"/>
      <w:shd w:val="clear" w:color="auto" w:fill="auto"/>
      <w:ind w:left="3400"/>
    </w:pPr>
    <w:rPr>
      <w:rFonts w:ascii="Arial" w:eastAsia="Arial" w:hAnsi="Arial" w:cs="Arial"/>
      <w:b w:val="0"/>
      <w:bCs w:val="0"/>
      <w:i w:val="0"/>
      <w:iCs w:val="0"/>
      <w:smallCaps w:val="0"/>
      <w:strike w:val="0"/>
      <w:color w:val="44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header" Target="header3.xml"/><Relationship Id="rId14" Type="http://schemas.openxmlformats.org/officeDocument/2006/relationships/footer" Target="footer5.xml"/><Relationship Id="rId15" Type="http://schemas.openxmlformats.org/officeDocument/2006/relationships/header" Target="header4.xml"/><Relationship Id="rId16" Type="http://schemas.openxmlformats.org/officeDocument/2006/relationships/footer" Target="footer6.xml"/><Relationship Id="rId17" Type="http://schemas.openxmlformats.org/officeDocument/2006/relationships/header" Target="header5.xml"/><Relationship Id="rId18" Type="http://schemas.openxmlformats.org/officeDocument/2006/relationships/footer" Target="footer7.xml"/><Relationship Id="rId19" Type="http://schemas.openxmlformats.org/officeDocument/2006/relationships/header" Target="header6.xml"/><Relationship Id="rId20" Type="http://schemas.openxmlformats.org/officeDocument/2006/relationships/footer" Target="footer8.xml"/><Relationship Id="rId21" Type="http://schemas.openxmlformats.org/officeDocument/2006/relationships/header" Target="header7.xml"/><Relationship Id="rId22" Type="http://schemas.openxmlformats.org/officeDocument/2006/relationships/footer" Target="footer9.xml"/><Relationship Id="rId23" Type="http://schemas.openxmlformats.org/officeDocument/2006/relationships/header" Target="header8.xml"/><Relationship Id="rId24" Type="http://schemas.openxmlformats.org/officeDocument/2006/relationships/footer" Target="footer10.xml"/><Relationship Id="rId25" Type="http://schemas.openxmlformats.org/officeDocument/2006/relationships/header" Target="header9.xml"/><Relationship Id="rId26" Type="http://schemas.openxmlformats.org/officeDocument/2006/relationships/footer" Target="footer11.xml"/><Relationship Id="rId27" Type="http://schemas.openxmlformats.org/officeDocument/2006/relationships/header" Target="header10.xml"/><Relationship Id="rId28" Type="http://schemas.openxmlformats.org/officeDocument/2006/relationships/footer" Target="footer12.xml"/><Relationship Id="rId29" Type="http://schemas.openxmlformats.org/officeDocument/2006/relationships/header" Target="header11.xml"/><Relationship Id="rId30" Type="http://schemas.openxmlformats.org/officeDocument/2006/relationships/footer" Target="footer13.xml"/><Relationship Id="rId31" Type="http://schemas.openxmlformats.org/officeDocument/2006/relationships/header" Target="header12.xml"/><Relationship Id="rId32" Type="http://schemas.openxmlformats.org/officeDocument/2006/relationships/footer" Target="footer14.xml"/><Relationship Id="rId33" Type="http://schemas.openxmlformats.org/officeDocument/2006/relationships/image" Target="media/image2.jpeg"/><Relationship Id="rId34" Type="http://schemas.openxmlformats.org/officeDocument/2006/relationships/image" Target="media/image2.jpeg" TargetMode="External"/><Relationship Id="rId35" Type="http://schemas.openxmlformats.org/officeDocument/2006/relationships/image" Target="media/image3.jpeg"/><Relationship Id="rId36" Type="http://schemas.openxmlformats.org/officeDocument/2006/relationships/image" Target="media/image3.jpeg" TargetMode="External"/><Relationship Id="rId37" Type="http://schemas.openxmlformats.org/officeDocument/2006/relationships/image" Target="media/image4.jpeg"/><Relationship Id="rId38" Type="http://schemas.openxmlformats.org/officeDocument/2006/relationships/image" Target="media/image4.jpeg" TargetMode="External"/></Relationships>
</file>