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Амурской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ул. Амурская, 150, г. Благовещенск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Амурская область, 675000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тел. (4162) 52-00-07. факс (4162) 52-00-35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rStyle w:val="CharStyle3"/>
          <w:lang w:val="en-US" w:eastAsia="en-US"/>
        </w:rPr>
        <w:t>to28@fas.gov.ru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3.03.2026</w:t>
        <w:tab/>
      </w:r>
      <w:r>
        <w:fldChar w:fldCharType="end"/>
      </w:r>
      <w:r>
        <w:rPr>
          <w:rStyle w:val="CharStyle11"/>
        </w:rPr>
        <w:t xml:space="preserve">№ </w:t>
      </w:r>
      <w:r>
        <w:rPr>
          <w:rStyle w:val="CharStyle11"/>
          <w:u w:val="single"/>
        </w:rPr>
        <w:t>ВФ/</w:t>
      </w:r>
      <w:r>
        <w:rPr>
          <w:rStyle w:val="CharStyle11"/>
        </w:rPr>
        <w:t>1157/26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5"/>
          <w:sz w:val="24"/>
          <w:szCs w:val="24"/>
        </w:rPr>
        <w:t>Решение по делу № 028/06/105 270/2026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5"/>
        </w:rPr>
        <w:t xml:space="preserve">Общество с ограниченной ответственностью "СтройЛабКонтроль" 680042, Хабаровский край, г.Хабаровск, ул.Воронежская, д.142 </w:t>
      </w:r>
      <w:r>
        <w:fldChar w:fldCharType="begin"/>
      </w:r>
      <w:r>
        <w:rPr/>
        <w:instrText> HYPERLINK "mailto:oooslk27@yandex.ru" </w:instrText>
      </w:r>
      <w:r>
        <w:fldChar w:fldCharType="separate"/>
      </w:r>
      <w:r>
        <w:rPr>
          <w:rStyle w:val="CharStyle15"/>
          <w:lang w:val="en-US" w:eastAsia="en-US"/>
        </w:rPr>
        <w:t>oooslk27@yandex.ru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Управление государственного заказа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5"/>
        </w:rPr>
        <w:t xml:space="preserve">Амурской области </w:t>
      </w:r>
      <w:r>
        <w:fldChar w:fldCharType="begin"/>
      </w:r>
      <w:r>
        <w:rPr/>
        <w:instrText> HYPERLINK "mailto:azk@gz.amurobl.ru" </w:instrText>
      </w:r>
      <w:r>
        <w:fldChar w:fldCharType="separate"/>
      </w:r>
      <w:r>
        <w:rPr>
          <w:rStyle w:val="CharStyle15"/>
          <w:lang w:val="en-US" w:eastAsia="en-US"/>
        </w:rPr>
        <w:t>azk@gz.amurobl.ru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Государственное казенное учреждение управление автомобильных дорог Амурской области "Амурупрадор" 675004, Амурская обл, г.Благовещенск, ул.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Зейская, Д. 206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728" w:bottom="1312" w:left="1135" w:header="0" w:footer="3" w:gutter="0"/>
          <w:pgNumType w:start="1"/>
          <w:cols w:num="2" w:space="720" w:equalWidth="0">
            <w:col w:w="4234" w:space="1037"/>
            <w:col w:w="4766"/>
          </w:cols>
          <w:noEndnote/>
          <w:titlePg/>
          <w:rtlGutter w:val="0"/>
          <w:docGrid w:linePitch="360"/>
        </w:sectPr>
      </w:pPr>
      <w:r>
        <w:rPr>
          <w:rStyle w:val="CharStyle15"/>
          <w:lang w:val="en-US" w:eastAsia="en-US"/>
        </w:rPr>
        <w:t>mail@amurdor.ru,</w:t>
      </w:r>
      <w:r>
        <w:fldChar w:fldCharType="begin"/>
      </w:r>
      <w:r>
        <w:rPr/>
        <w:instrText> HYPERLINK "mailto:tdv@amurdor.ru" </w:instrText>
      </w:r>
      <w:r>
        <w:fldChar w:fldCharType="separate"/>
      </w:r>
      <w:r>
        <w:rPr>
          <w:rStyle w:val="CharStyle15"/>
          <w:lang w:val="en-US" w:eastAsia="en-US"/>
        </w:rPr>
        <w:t>tdv@amurdor.ru</w:t>
      </w:r>
      <w:r>
        <w:fldChar w:fldCharType="end"/>
      </w:r>
    </w:p>
    <w:p>
      <w:pPr>
        <w:widowControl w:val="0"/>
        <w:spacing w:line="166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1" w:right="0" w:bottom="119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по делу № 028/06/105-231/2026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5"/>
        </w:rPr>
        <w:t>19.03.2026 г. Благовещенск (в полном объеме изготовлено 23.03.2026)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Комиссия управления Федеральной антимонопольной службы по Амурской области (далее – Амурское УФАС России) по контролю в сфере закупок в составе: Фирстова В.К. – председателя Комиссии, заместителя руководителя управления; Левченко И.И. – ведущего специалиста-эксперта отдела контроля закупок; Ивановой Г.С. – главного специалиста- эксперта отдела контроля закупок; Барсуковой И.В. – ведущего специалиста-эксперта отдела контроля закупок,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присутствии представителей: от государственного заказчика – Павленко Н.Е. действующей на основании доверенности от 26.02.2026 № 02-453,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от общества с ограниченной ответственностью «СтройЛабКонтроль» (далее – ООО «СтройЛабКонтроль») – Фокина В.Е., действующего на основании доверенности от 18.03.2026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(лицам, присутствующим на заседании комиссии, разъяснены права, порядок рассмотрения дела, сообщено о ведении аудио- и видеозаписи заседания Комиссии Амурского УФАС России),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заседание Комиссии Амурского УФАС России осуществлено в дистанционном режиме, без очного участия представителей заинтересованных сторон, посредством плагина </w:t>
      </w:r>
      <w:r>
        <w:rPr>
          <w:rStyle w:val="CharStyle15"/>
          <w:lang w:val="en-US" w:eastAsia="en-US"/>
        </w:rPr>
        <w:t xml:space="preserve">«TrueConf» </w:t>
      </w:r>
      <w:r>
        <w:rPr>
          <w:rStyle w:val="CharStyle15"/>
        </w:rPr>
        <w:t>в режиме видеоконференцсвязи,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рассмотрела поступившую в Амурское УФАС России жалобу от ООО «СтройЛабКонтроль» на действия комиссии государственного заказчика – Государственного казенного учреждения управления автомобильных дорог Амурской области «Амурупрадор» (далее — ГКУ «Амурупрадор») при осуществлении закупки в форме открытого конкурса в электронной форме на оказание услуг по строительному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контролю за осуществлением Подрядчиком работ по ремонту автомобильных дорог общего пользования регионального или межмуниципального значения Амурской области объявленного извещением от </w:t>
      </w:r>
      <w:r>
        <w:rPr>
          <w:rStyle w:val="CharStyle15"/>
          <w:lang w:val="en-US" w:eastAsia="en-US"/>
        </w:rPr>
        <w:t xml:space="preserve">20.02.2026 № 0123200000326000235 </w:t>
      </w:r>
      <w:r>
        <w:rPr>
          <w:rStyle w:val="CharStyle15"/>
        </w:rPr>
        <w:t xml:space="preserve">на электронной площадке РТС-тендер </w:t>
      </w:r>
      <w:r>
        <w:fldChar w:fldCharType="begin"/>
      </w:r>
      <w:r>
        <w:rPr/>
        <w:instrText> HYPERLINK "http://www.rts-tender.ru" </w:instrText>
      </w:r>
      <w:r>
        <w:fldChar w:fldCharType="separate"/>
      </w:r>
      <w:r>
        <w:rPr>
          <w:rStyle w:val="CharStyle15"/>
          <w:lang w:val="en-US" w:eastAsia="en-US"/>
        </w:rPr>
        <w:t>http://www.rts-tender.ru</w:t>
      </w:r>
      <w:r>
        <w:fldChar w:fldCharType="end"/>
      </w:r>
      <w:r>
        <w:rPr>
          <w:rStyle w:val="CharStyle15"/>
          <w:lang w:val="en-US" w:eastAsia="en-US"/>
        </w:rPr>
        <w:t xml:space="preserve">, </w:t>
      </w:r>
      <w:r>
        <w:rPr>
          <w:rStyle w:val="CharStyle15"/>
        </w:rPr>
        <w:t xml:space="preserve">выразившиеся, по мнению заявителя, в нарушении положений 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Закон о контрактной системе, Федеральный закон).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Из жалобы заявителя следует, что заказчик неправомерно отклонил заявку ООО «СтройЛабКонтроль», поскольку заявка соответствовала требованиям положений извещения.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Представитель заказчика с доводами, заявленными в жалобе, не согласился. Представил письменные возражения, которые приобщены к материалам дела. Просит признать жалобу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Комиссия Амурского УФАС России, рассмотрев жалобу, исследовав материалы дела проведя в соответствии с частями </w:t>
      </w:r>
      <w:r>
        <w:rPr>
          <w:rStyle w:val="CharStyle15"/>
          <w:lang w:val="en-US" w:eastAsia="en-US"/>
        </w:rPr>
        <w:t xml:space="preserve">3, 15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 внеплановую проверку,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20.02.2026 </w:t>
      </w:r>
      <w:r>
        <w:rPr>
          <w:rStyle w:val="CharStyle15"/>
        </w:rPr>
        <w:t xml:space="preserve">государственным заказчика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ГКУ «Амурупрадор» на электронной площадке РТС-тендер </w:t>
      </w:r>
      <w:r>
        <w:fldChar w:fldCharType="begin"/>
      </w:r>
      <w:r>
        <w:rPr/>
        <w:instrText> HYPERLINK "http://www.rts-tender.ru" </w:instrText>
      </w:r>
      <w:r>
        <w:fldChar w:fldCharType="separate"/>
      </w:r>
      <w:r>
        <w:rPr>
          <w:rStyle w:val="CharStyle15"/>
          <w:lang w:val="en-US" w:eastAsia="en-US"/>
        </w:rPr>
        <w:t>http://www.rts-tender.ru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опубликовано извещение </w:t>
      </w:r>
      <w:r>
        <w:rPr>
          <w:rStyle w:val="CharStyle15"/>
          <w:lang w:val="en-US" w:eastAsia="en-US"/>
        </w:rPr>
        <w:t xml:space="preserve">№ 0123200000326000235 </w:t>
      </w:r>
      <w:r>
        <w:rPr>
          <w:rStyle w:val="CharStyle15"/>
        </w:rPr>
        <w:t>на поставку офисной мебели.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Соответствующая информация размещена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5"/>
          <w:lang w:val="en-US" w:eastAsia="en-US"/>
        </w:rPr>
        <w:t>www.zakupki.gov.ru</w:t>
      </w:r>
      <w:r>
        <w:fldChar w:fldCharType="end"/>
      </w:r>
      <w:r>
        <w:rPr>
          <w:rStyle w:val="CharStyle15"/>
          <w:lang w:val="en-US" w:eastAsia="en-US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установлена в размере </w:t>
      </w:r>
      <w:r>
        <w:rPr>
          <w:rStyle w:val="CharStyle15"/>
          <w:lang w:val="en-US" w:eastAsia="en-US"/>
        </w:rPr>
        <w:t xml:space="preserve">2 500 000,00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Дата и время окончания срока подачи заявок </w:t>
      </w:r>
      <w:r>
        <w:rPr>
          <w:rStyle w:val="CharStyle15"/>
          <w:lang w:val="en-US" w:eastAsia="en-US"/>
        </w:rPr>
        <w:t xml:space="preserve">– 10.03.2026, </w:t>
      </w:r>
      <w:r>
        <w:rPr>
          <w:rStyle w:val="CharStyle15"/>
        </w:rPr>
        <w:t xml:space="preserve">дата окончания срока рассмотрения и оценки вторых частей заявок </w:t>
      </w:r>
      <w:r>
        <w:rPr>
          <w:rStyle w:val="CharStyle15"/>
          <w:lang w:val="en-US" w:eastAsia="en-US"/>
        </w:rPr>
        <w:t xml:space="preserve">– 12.03.2026, </w:t>
      </w:r>
      <w:r>
        <w:rPr>
          <w:rStyle w:val="CharStyle15"/>
        </w:rPr>
        <w:t xml:space="preserve">дата подведения итогов определения поставщика (подрядчика, исполнителя) </w:t>
      </w:r>
      <w:r>
        <w:rPr>
          <w:rStyle w:val="CharStyle15"/>
          <w:lang w:val="en-US" w:eastAsia="en-US"/>
        </w:rPr>
        <w:t>– 13.03.2026.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протоколу подведения итогов от </w:t>
      </w:r>
      <w:r>
        <w:rPr>
          <w:rStyle w:val="CharStyle15"/>
          <w:lang w:val="en-US" w:eastAsia="en-US"/>
        </w:rPr>
        <w:t xml:space="preserve">11.03.2026 </w:t>
      </w:r>
      <w:r>
        <w:rPr>
          <w:rStyle w:val="CharStyle15"/>
        </w:rPr>
        <w:t xml:space="preserve">заявка ООО «СтройЛабКонтроль» (идентификационный номер заявки </w:t>
      </w:r>
      <w:r>
        <w:rPr>
          <w:rStyle w:val="CharStyle15"/>
          <w:lang w:val="en-US" w:eastAsia="en-US"/>
        </w:rPr>
        <w:t xml:space="preserve">120712260) </w:t>
      </w:r>
      <w:r>
        <w:rPr>
          <w:rStyle w:val="CharStyle15"/>
        </w:rPr>
        <w:t xml:space="preserve">отклонена на основании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о контрактной системе, непредставление информации и документов, предусмотренных извещением об осуществлении закупки, а именно: в составе заявки предоставлен протокол </w:t>
      </w:r>
      <w:r>
        <w:rPr>
          <w:rStyle w:val="CharStyle15"/>
          <w:lang w:val="en-US" w:eastAsia="en-US"/>
        </w:rPr>
        <w:t xml:space="preserve">№ 3 </w:t>
      </w:r>
      <w:r>
        <w:rPr>
          <w:rStyle w:val="CharStyle15"/>
        </w:rPr>
        <w:t xml:space="preserve">внеочередного общего собрания учредителей общества с ограниченной ответственностью от </w:t>
      </w:r>
      <w:r>
        <w:rPr>
          <w:rStyle w:val="CharStyle15"/>
          <w:lang w:val="en-US" w:eastAsia="en-US"/>
        </w:rPr>
        <w:t xml:space="preserve">01.07.2025, </w:t>
      </w:r>
      <w:r>
        <w:rPr>
          <w:rStyle w:val="CharStyle15"/>
        </w:rPr>
        <w:t>не удостоверенный нотариально. В соответствии с пп.3 п.3 ст.67.1. Гражданского кодекса РФ принятие общим собранием участников хозяйственного общества решения на заседании и состав участников общества, присутствовавших при его принятии, подтверждаются в отношении общества с ограниченной ответственностью путем нотариального удостоверения, если иной способ (подписание протокола всеми участниками или частью участников; с использованием технических средств, позволяющих достоверно установить факт принятия решения; иным способом, не противоречащим закону) не предусмотрен уставом такого общества либо решением общего собрания участников общества, принятым участниками общества единогласно. Таким образом, не предоставлено решение о согласии на совершение или о последующем одобрении крупной сделки.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Комиссия Амурского УФАС России, исследовав материалы дела, приходит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 установлено, что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подпунктом «м»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 об участнике закупки, в том числе 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подпункта «а»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о контрактной системе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>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извещении закупки </w:t>
      </w:r>
      <w:r>
        <w:rPr>
          <w:rStyle w:val="CharStyle15"/>
          <w:lang w:val="en-US" w:eastAsia="en-US"/>
        </w:rPr>
        <w:t xml:space="preserve">№ 0123200000326000235 </w:t>
      </w:r>
      <w:r>
        <w:rPr>
          <w:rStyle w:val="CharStyle15"/>
        </w:rPr>
        <w:t>установлены требования к содержанию, составу заявки на участие в электронном запросе котировок и инструкции по ее заполнению, размещенных в составе извещения, в том числе установлено требование о предоставлении участниками закупки решения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Комиссией Амурского УФАС России установлено, что участник закупки ООО «СтройЛабКонтроль» (идентификационный номер заявки </w:t>
      </w:r>
      <w:r>
        <w:rPr>
          <w:rStyle w:val="CharStyle15"/>
          <w:lang w:val="en-US" w:eastAsia="en-US"/>
        </w:rPr>
        <w:t xml:space="preserve">120712260) </w:t>
      </w:r>
      <w:r>
        <w:rPr>
          <w:rStyle w:val="CharStyle15"/>
        </w:rPr>
        <w:t xml:space="preserve">в составе заявки представлен протокол </w:t>
      </w:r>
      <w:r>
        <w:rPr>
          <w:rStyle w:val="CharStyle15"/>
          <w:lang w:val="en-US" w:eastAsia="en-US"/>
        </w:rPr>
        <w:t xml:space="preserve">№ 3 </w:t>
      </w:r>
      <w:r>
        <w:rPr>
          <w:rStyle w:val="CharStyle15"/>
        </w:rPr>
        <w:t xml:space="preserve">внеочередного общего собрания учредителей общества от </w:t>
      </w:r>
      <w:r>
        <w:rPr>
          <w:rStyle w:val="CharStyle15"/>
          <w:lang w:val="en-US" w:eastAsia="en-US"/>
        </w:rPr>
        <w:t xml:space="preserve">01.07.2025 </w:t>
      </w:r>
      <w:r>
        <w:rPr>
          <w:rStyle w:val="CharStyle15"/>
        </w:rPr>
        <w:t>об одобрение и совершение по результатам электронных аукционов сделок не удостоверенный нотариально.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Оценив действия комиссии Заказчика на предмет соответствия законодательству Российской Федерации, Комиссия Амурского УФАС России приходит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67.1 </w:t>
      </w:r>
      <w:r>
        <w:rPr>
          <w:rStyle w:val="CharStyle15"/>
        </w:rPr>
        <w:t>Гражданского кодекса Российской Федерации принятие общим собранием участников хозяйственного общества решения на заседании и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состав участников общества, присутствовавших при его принятии, подтверждаются в отношении общества с ограниченной ответственностью путем нотариального удостоверения, если иной способ (подписание протокола всеми участниками или частью участников; с использованием технических средств, позволяющих достоверно установить факт принятия решения; иным способом, не противоречащим закону) не предусмотрен уставом такого общества либо решением общего собрания участников общества, принятым участниками общества единогласно.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Как следует из приведенный нормы, закон прямо предусматривает возможность иного способа удостоверения решения общего собрания участников общества, помимо нотариального удостоверения документов.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Вместе с тем, в составе заявки на участие в рассматриваемой закупке ООО «СтройЛабКонтроль» копию устава общества не представило, что, как справедливо отмечено заказчиком, не позволило комиссии оценить положения устава в совокупности с решением об одобрении крупной сделки и сделать выводы о наличии у общества иного (альтернативного) способа подтверждения решений общества.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Комиссия Амурского УФАС России приходит к выводу о правомерном отклонении комиссией заказчика заявки ООО «СтройЛабКонтроль» на основании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системе, поскольку предоставленное в составе заявки решение об одобрении совершения крупных сделок не соответствует требованиям законодательства.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Рассмотрев жалобу ООО «СтройЛабКонтроль», руководствуясь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99,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 Комиссия Амурского УФАС России приняла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Признать жалобу общества с ограниченной ответственностью «СтройЛабКонтроль»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Решение может быть обжаловано в Арбитражный суд Амурской области в течение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1" w:right="542" w:bottom="1190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>трех месяцев со дня его принятия.</w:t>
      </w:r>
    </w:p>
    <w:p>
      <w:pPr>
        <w:pStyle w:val="Style14"/>
        <w:keepNext w:val="0"/>
        <w:keepLines w:val="0"/>
        <w:framePr w:w="2674" w:h="360" w:wrap="none" w:vAnchor="text" w:hAnchor="page" w:x="1164" w:y="2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Председатель комиссии</w:t>
      </w:r>
    </w:p>
    <w:p>
      <w:pPr>
        <w:pStyle w:val="Style14"/>
        <w:keepNext w:val="0"/>
        <w:keepLines w:val="0"/>
        <w:framePr w:w="1968" w:h="370" w:wrap="none" w:vAnchor="text" w:hAnchor="page" w:x="1159" w:y="1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7"/>
        <w:keepNext w:val="0"/>
        <w:keepLines w:val="0"/>
        <w:framePr w:w="2021" w:h="158" w:wrap="none" w:vAnchor="text" w:hAnchor="page" w:x="4904" w:y="65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8"/>
          <w:color w:val="FFFFFF"/>
          <w:sz w:val="12"/>
          <w:szCs w:val="12"/>
        </w:rPr>
        <w:t>СВЕДЕНИЯ О СЕРТИФИКАТЕ ЭП</w:t>
      </w:r>
    </w:p>
    <w:p>
      <w:pPr>
        <w:pStyle w:val="Style17"/>
        <w:keepNext w:val="0"/>
        <w:keepLines w:val="0"/>
        <w:framePr w:w="2712" w:h="408" w:wrap="none" w:vAnchor="text" w:hAnchor="page" w:x="4841" w:y="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0"/>
        <w:keepNext w:val="0"/>
        <w:keepLines w:val="0"/>
        <w:framePr w:w="3490" w:h="470" w:wrap="none" w:vAnchor="text" w:hAnchor="page" w:x="4198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Фирстов Владимир Константинович</w:t>
      </w:r>
    </w:p>
    <w:p>
      <w:pPr>
        <w:pStyle w:val="Style20"/>
        <w:keepNext w:val="0"/>
        <w:keepLines w:val="0"/>
        <w:framePr w:w="3490" w:h="470" w:wrap="none" w:vAnchor="text" w:hAnchor="page" w:x="4198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00F38AF8EF95B5F8FFC1E9484ABDBBDC0</w:t>
      </w:r>
      <w:r>
        <w:rPr>
          <w:rStyle w:val="CharStyle21"/>
          <w:lang w:val="en-US" w:eastAsia="en-US"/>
        </w:rPr>
        <w:t>I</w:t>
      </w:r>
    </w:p>
    <w:p>
      <w:pPr>
        <w:pStyle w:val="Style20"/>
        <w:keepNext w:val="0"/>
        <w:keepLines w:val="0"/>
        <w:framePr w:w="3490" w:h="470" w:wrap="none" w:vAnchor="text" w:hAnchor="page" w:x="4198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Действителен с 05.08.2025 </w:t>
      </w:r>
      <w:r>
        <w:rPr>
          <w:rStyle w:val="CharStyle21"/>
          <w:color w:val="5C5C5C"/>
        </w:rPr>
        <w:t xml:space="preserve">по </w:t>
      </w:r>
      <w:r>
        <w:rPr>
          <w:rStyle w:val="CharStyle21"/>
        </w:rPr>
        <w:t>29.10.2026</w:t>
      </w:r>
    </w:p>
    <w:p>
      <w:pPr>
        <w:pStyle w:val="Style14"/>
        <w:keepNext w:val="0"/>
        <w:keepLines w:val="0"/>
        <w:framePr w:w="1536" w:h="370" w:wrap="none" w:vAnchor="text" w:hAnchor="page" w:x="9780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В.К. Фирстов</w:t>
      </w:r>
    </w:p>
    <w:p>
      <w:pPr>
        <w:pStyle w:val="Style17"/>
        <w:keepNext w:val="0"/>
        <w:keepLines w:val="0"/>
        <w:framePr w:w="2712" w:h="408" w:wrap="none" w:vAnchor="text" w:hAnchor="page" w:x="4841" w:y="1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4"/>
        <w:keepNext w:val="0"/>
        <w:keepLines w:val="0"/>
        <w:framePr w:w="1646" w:h="370" w:wrap="none" w:vAnchor="text" w:hAnchor="page" w:x="9670" w:y="1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И.И. Левченко</w:t>
      </w:r>
    </w:p>
    <w:p>
      <w:pPr>
        <w:pStyle w:val="Style25"/>
        <w:keepNext w:val="0"/>
        <w:keepLines w:val="0"/>
        <w:framePr w:w="2021" w:h="154" w:wrap="none" w:vAnchor="text" w:hAnchor="page" w:x="4903" w:y="222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center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framePr w:w="3317" w:h="470" w:wrap="none" w:vAnchor="text" w:hAnchor="page" w:x="4198" w:y="2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Левченко Иван Игоревич</w:t>
      </w:r>
    </w:p>
    <w:p>
      <w:pPr>
        <w:pStyle w:val="Style20"/>
        <w:keepNext w:val="0"/>
        <w:keepLines w:val="0"/>
        <w:framePr w:w="3317" w:h="470" w:wrap="none" w:vAnchor="text" w:hAnchor="page" w:x="4198" w:y="2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1829С8В58С4СС6С13213576Е40ЕВ7223</w:t>
      </w:r>
    </w:p>
    <w:p>
      <w:pPr>
        <w:pStyle w:val="Style20"/>
        <w:keepNext w:val="0"/>
        <w:keepLines w:val="0"/>
        <w:framePr w:w="3317" w:h="470" w:wrap="none" w:vAnchor="text" w:hAnchor="page" w:x="4198" w:y="2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Действителен с </w:t>
      </w:r>
      <w:r>
        <w:rPr>
          <w:rStyle w:val="CharStyle21"/>
          <w:color w:val="5C5C5C"/>
        </w:rPr>
        <w:t>20.08.2025 по 1</w:t>
      </w:r>
      <w:r>
        <w:rPr>
          <w:rStyle w:val="CharStyle21"/>
        </w:rPr>
        <w:t>3.1</w:t>
      </w:r>
      <w:r>
        <w:rPr>
          <w:rStyle w:val="CharStyle21"/>
          <w:color w:val="292929"/>
        </w:rPr>
        <w:t>1</w:t>
      </w:r>
      <w:r>
        <w:rPr>
          <w:rStyle w:val="CharStyle21"/>
        </w:rPr>
        <w:t>.2026</w:t>
      </w:r>
    </w:p>
    <w:p>
      <w:pPr>
        <w:pStyle w:val="Style17"/>
        <w:keepNext w:val="0"/>
        <w:keepLines w:val="0"/>
        <w:framePr w:w="2021" w:h="158" w:wrap="none" w:vAnchor="text" w:hAnchor="page" w:x="4903" w:y="3812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8"/>
          <w:color w:val="FFFFFF"/>
          <w:sz w:val="12"/>
          <w:szCs w:val="12"/>
        </w:rPr>
        <w:t>СВЕДЕНИЯ О СЕРТИФИКАТЕ ЭП</w:t>
      </w:r>
    </w:p>
    <w:p>
      <w:pPr>
        <w:pStyle w:val="Style17"/>
        <w:keepNext w:val="0"/>
        <w:keepLines w:val="0"/>
        <w:framePr w:w="2712" w:h="408" w:wrap="none" w:vAnchor="text" w:hAnchor="page" w:x="4841" w:y="3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0"/>
        <w:keepNext w:val="0"/>
        <w:keepLines w:val="0"/>
        <w:framePr w:w="3293" w:h="470" w:wrap="none" w:vAnchor="text" w:hAnchor="page" w:x="4198" w:y="4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Иванова Галина Сергеевна</w:t>
      </w:r>
    </w:p>
    <w:p>
      <w:pPr>
        <w:pStyle w:val="Style20"/>
        <w:keepNext w:val="0"/>
        <w:keepLines w:val="0"/>
        <w:framePr w:w="3293" w:h="470" w:wrap="none" w:vAnchor="text" w:hAnchor="page" w:x="4198" w:y="4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58163184756BD0B7548E57D472DE02EF</w:t>
      </w:r>
    </w:p>
    <w:p>
      <w:pPr>
        <w:pStyle w:val="Style20"/>
        <w:keepNext w:val="0"/>
        <w:keepLines w:val="0"/>
        <w:framePr w:w="3293" w:h="470" w:wrap="none" w:vAnchor="text" w:hAnchor="page" w:x="4198" w:y="4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Действителен с 26.06.2025 </w:t>
      </w:r>
      <w:r>
        <w:rPr>
          <w:rStyle w:val="CharStyle21"/>
          <w:color w:val="5C5C5C"/>
        </w:rPr>
        <w:t xml:space="preserve">по </w:t>
      </w:r>
      <w:r>
        <w:rPr>
          <w:rStyle w:val="CharStyle21"/>
        </w:rPr>
        <w:t>19.09.2026</w:t>
      </w:r>
    </w:p>
    <w:p>
      <w:pPr>
        <w:pStyle w:val="Style27"/>
        <w:keepNext w:val="0"/>
        <w:keepLines w:val="0"/>
        <w:framePr w:w="3096" w:h="528" w:wrap="none" w:vAnchor="text" w:hAnchor="page" w:x="1107" w:y="51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>Исп.Левченко И.И. тел.8(4162)37-21-73; вн. 028-217</w:t>
      </w:r>
    </w:p>
    <w:p>
      <w:pPr>
        <w:pStyle w:val="Style17"/>
        <w:keepNext w:val="0"/>
        <w:keepLines w:val="0"/>
        <w:framePr w:w="2712" w:h="408" w:wrap="none" w:vAnchor="text" w:hAnchor="page" w:x="4841" w:y="4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5"/>
        <w:keepNext w:val="0"/>
        <w:keepLines w:val="0"/>
        <w:framePr w:w="2021" w:h="154" w:wrap="none" w:vAnchor="text" w:hAnchor="page" w:x="4903" w:y="540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center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framePr w:w="3456" w:h="470" w:wrap="none" w:vAnchor="text" w:hAnchor="page" w:x="4198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Барсукова Ирина Валериевна</w:t>
      </w:r>
    </w:p>
    <w:p>
      <w:pPr>
        <w:pStyle w:val="Style20"/>
        <w:keepNext w:val="0"/>
        <w:keepLines w:val="0"/>
        <w:framePr w:w="3456" w:h="470" w:wrap="none" w:vAnchor="text" w:hAnchor="page" w:x="4198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00D5E8987E9F5D6755209C15828FEC98FA</w:t>
      </w:r>
    </w:p>
    <w:p>
      <w:pPr>
        <w:pStyle w:val="Style20"/>
        <w:keepNext w:val="0"/>
        <w:keepLines w:val="0"/>
        <w:framePr w:w="3456" w:h="470" w:wrap="none" w:vAnchor="text" w:hAnchor="page" w:x="4198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 xml:space="preserve">Действителен с 05.09.2025 </w:t>
      </w:r>
      <w:r>
        <w:rPr>
          <w:rStyle w:val="CharStyle21"/>
          <w:color w:val="5C5C5C"/>
        </w:rPr>
        <w:t xml:space="preserve">по </w:t>
      </w:r>
      <w:r>
        <w:rPr>
          <w:rStyle w:val="CharStyle21"/>
        </w:rPr>
        <w:t>29.1</w:t>
      </w:r>
      <w:r>
        <w:rPr>
          <w:rStyle w:val="CharStyle21"/>
          <w:color w:val="292929"/>
        </w:rPr>
        <w:t>1</w:t>
      </w:r>
      <w:r>
        <w:rPr>
          <w:rStyle w:val="CharStyle21"/>
        </w:rPr>
        <w:t>.2026</w:t>
      </w:r>
    </w:p>
    <w:p>
      <w:pPr>
        <w:pStyle w:val="Style14"/>
        <w:keepNext w:val="0"/>
        <w:keepLines w:val="0"/>
        <w:framePr w:w="1464" w:h="370" w:wrap="none" w:vAnchor="text" w:hAnchor="page" w:x="9857" w:y="2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Г.С. Иванова</w:t>
      </w:r>
    </w:p>
    <w:p>
      <w:pPr>
        <w:pStyle w:val="Style14"/>
        <w:keepNext w:val="0"/>
        <w:keepLines w:val="0"/>
        <w:framePr w:w="1718" w:h="370" w:wrap="none" w:vAnchor="text" w:hAnchor="page" w:x="9603" w:y="41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И.В. Барсукова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4" behindDoc="1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12700</wp:posOffset>
            </wp:positionV>
            <wp:extent cx="359410" cy="52451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786255" simplePos="0" relativeHeight="62914695" behindDoc="1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972185</wp:posOffset>
            </wp:positionV>
            <wp:extent cx="389890" cy="43307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786255" simplePos="0" relativeHeight="62914696" behindDoc="1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1920240</wp:posOffset>
            </wp:positionV>
            <wp:extent cx="353695" cy="61595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804670" simplePos="0" relativeHeight="62914697" behindDoc="1" locked="0" layoutInCell="1" allowOverlap="1">
            <wp:simplePos x="0" y="0"/>
            <wp:positionH relativeFrom="page">
              <wp:posOffset>2677160</wp:posOffset>
            </wp:positionH>
            <wp:positionV relativeFrom="paragraph">
              <wp:posOffset>3041650</wp:posOffset>
            </wp:positionV>
            <wp:extent cx="316865" cy="36576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97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9959975</wp:posOffset>
              </wp:positionV>
              <wp:extent cx="66167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2026-1308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00000000000003pt;margin-top:784.25pt;width:52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2026-1308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2026-1308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52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2026-1308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6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2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6)"/>
    <w:basedOn w:val="Normal"/>
    <w:link w:val="CharStyle2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