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2" w:h="715" w:wrap="none" w:hAnchor="page" w:x="6406" w:y="961"/>
        <w:widowControl w:val="0"/>
        <w:shd w:val="clear" w:color="auto" w:fill="auto"/>
        <w:bidi w:val="0"/>
        <w:spacing w:before="0" w:after="0" w:line="240" w:lineRule="auto"/>
        <w:ind w:left="0" w:right="0" w:firstLine="0"/>
        <w:jc w:val="left"/>
      </w:pPr>
      <w:r>
        <w:rPr>
          <w:rStyle w:val="CharStyle3"/>
        </w:rPr>
        <w:t xml:space="preserve">АО«ЕЭТП» </w:t>
      </w:r>
      <w:r>
        <w:fldChar w:fldCharType="begin"/>
      </w:r>
      <w:r>
        <w:rPr/>
        <w:instrText> HYPERLINK "mailto:ko@roseltorg.ru" </w:instrText>
      </w:r>
      <w:r>
        <w:fldChar w:fldCharType="separate"/>
      </w:r>
      <w:r>
        <w:rPr>
          <w:rStyle w:val="CharStyle3"/>
          <w:lang w:val="en-US" w:eastAsia="en-US"/>
        </w:rPr>
        <w:t>ko@roseltorg.ru</w:t>
      </w:r>
      <w:r>
        <w:fldChar w:fldCharType="end"/>
      </w:r>
    </w:p>
    <w:p>
      <w:pPr>
        <w:pStyle w:val="Style4"/>
        <w:keepNext w:val="0"/>
        <w:keepLines w:val="0"/>
        <w:framePr w:w="10032" w:h="5731" w:wrap="none" w:hAnchor="page" w:x="1333" w:y="961"/>
        <w:widowControl w:val="0"/>
        <w:shd w:val="clear" w:color="auto" w:fill="auto"/>
        <w:bidi w:val="0"/>
        <w:spacing w:before="0" w:after="0" w:line="240" w:lineRule="auto"/>
        <w:ind w:left="1160" w:right="0" w:firstLine="0"/>
        <w:jc w:val="left"/>
      </w:pPr>
      <w:r>
        <w:rPr>
          <w:rStyle w:val="CharStyle5"/>
          <w:b/>
          <w:bCs/>
        </w:rPr>
        <w:t>ФЕДЕРАЛЬНАЯ</w:t>
      </w:r>
    </w:p>
    <w:p>
      <w:pPr>
        <w:pStyle w:val="Style4"/>
        <w:keepNext w:val="0"/>
        <w:keepLines w:val="0"/>
        <w:framePr w:w="10032" w:h="5731" w:wrap="none" w:hAnchor="page" w:x="1333" w:y="961"/>
        <w:widowControl w:val="0"/>
        <w:shd w:val="clear" w:color="auto" w:fill="auto"/>
        <w:bidi w:val="0"/>
        <w:spacing w:before="0" w:after="200" w:line="240" w:lineRule="auto"/>
        <w:ind w:left="0" w:right="0" w:firstLine="280"/>
        <w:jc w:val="left"/>
      </w:pPr>
      <w:r>
        <w:rPr>
          <w:rStyle w:val="CharStyle5"/>
          <w:b/>
          <w:bCs/>
        </w:rPr>
        <w:t>АНТИМОНОПОЛЬНАЯ СЛУЖБА</w:t>
      </w:r>
    </w:p>
    <w:p>
      <w:pPr>
        <w:pStyle w:val="Style4"/>
        <w:keepNext w:val="0"/>
        <w:keepLines w:val="0"/>
        <w:framePr w:w="10032" w:h="5731" w:wrap="none" w:hAnchor="page" w:x="1333" w:y="961"/>
        <w:widowControl w:val="0"/>
        <w:shd w:val="clear" w:color="auto" w:fill="auto"/>
        <w:bidi w:val="0"/>
        <w:spacing w:before="0" w:after="200" w:line="240" w:lineRule="auto"/>
        <w:ind w:left="1160" w:right="0" w:firstLine="0"/>
        <w:jc w:val="left"/>
      </w:pPr>
      <w:r>
        <w:rPr>
          <w:rStyle w:val="CharStyle5"/>
          <w:b/>
          <w:bCs/>
        </w:rPr>
        <w:t>УПРАВЛЕНИЕ</w:t>
      </w:r>
    </w:p>
    <w:p>
      <w:pPr>
        <w:pStyle w:val="Style4"/>
        <w:keepNext w:val="0"/>
        <w:keepLines w:val="0"/>
        <w:framePr w:w="10032" w:h="5731" w:wrap="none" w:hAnchor="page" w:x="1333" w:y="961"/>
        <w:widowControl w:val="0"/>
        <w:shd w:val="clear" w:color="auto" w:fill="auto"/>
        <w:bidi w:val="0"/>
        <w:spacing w:before="0" w:after="200" w:line="240" w:lineRule="auto"/>
        <w:ind w:left="1320" w:right="0" w:firstLine="0"/>
        <w:jc w:val="left"/>
      </w:pPr>
      <w:r>
        <w:rPr>
          <w:rStyle w:val="CharStyle5"/>
          <w:b/>
          <w:bCs/>
        </w:rPr>
        <w:t>по г. Москве</w:t>
      </w:r>
    </w:p>
    <w:p>
      <w:pPr>
        <w:pStyle w:val="Style4"/>
        <w:keepNext w:val="0"/>
        <w:keepLines w:val="0"/>
        <w:framePr w:w="10032" w:h="5731" w:wrap="none" w:hAnchor="page" w:x="1333" w:y="961"/>
        <w:widowControl w:val="0"/>
        <w:shd w:val="clear" w:color="auto" w:fill="auto"/>
        <w:bidi w:val="0"/>
        <w:spacing w:before="0" w:after="0" w:line="240" w:lineRule="auto"/>
        <w:ind w:left="0" w:right="0" w:firstLine="660"/>
        <w:jc w:val="left"/>
      </w:pPr>
      <w:r>
        <w:rPr>
          <w:rStyle w:val="CharStyle5"/>
        </w:rPr>
        <w:t>Мясницкий проезд, д.4, стр. 1</w:t>
      </w:r>
    </w:p>
    <w:p>
      <w:pPr>
        <w:pStyle w:val="Style4"/>
        <w:keepNext w:val="0"/>
        <w:keepLines w:val="0"/>
        <w:framePr w:w="10032" w:h="5731" w:wrap="none" w:hAnchor="page" w:x="1333" w:y="961"/>
        <w:widowControl w:val="0"/>
        <w:shd w:val="clear" w:color="auto" w:fill="auto"/>
        <w:bidi w:val="0"/>
        <w:spacing w:before="0" w:after="0" w:line="240" w:lineRule="auto"/>
        <w:ind w:left="1100" w:right="0" w:firstLine="0"/>
        <w:jc w:val="left"/>
      </w:pPr>
      <w:r>
        <w:rPr>
          <w:rStyle w:val="CharStyle5"/>
        </w:rPr>
        <w:t>107078, г. Москва,</w:t>
      </w:r>
    </w:p>
    <w:p>
      <w:pPr>
        <w:pStyle w:val="Style4"/>
        <w:keepNext w:val="0"/>
        <w:keepLines w:val="0"/>
        <w:framePr w:w="10032" w:h="5731" w:wrap="none" w:hAnchor="page" w:x="1333" w:y="961"/>
        <w:widowControl w:val="0"/>
        <w:shd w:val="clear" w:color="auto" w:fill="auto"/>
        <w:bidi w:val="0"/>
        <w:spacing w:before="0" w:line="240" w:lineRule="auto"/>
        <w:ind w:left="0" w:right="0" w:firstLine="0"/>
        <w:jc w:val="center"/>
      </w:pPr>
      <w:r>
        <w:rPr>
          <w:rStyle w:val="CharStyle5"/>
        </w:rPr>
        <w:t>тел. (495) 784-75-05, факс (495) 607-49-29</w:t>
        <w:br/>
        <w:t xml:space="preserve">факс (495) 607-42-92, </w:t>
      </w:r>
      <w:r>
        <w:rPr>
          <w:rStyle w:val="CharStyle5"/>
          <w:u w:val="single"/>
          <w:lang w:val="en-US" w:eastAsia="en-US"/>
        </w:rPr>
        <w:t xml:space="preserve">e-mail: </w:t>
      </w:r>
      <w:r>
        <w:fldChar w:fldCharType="begin"/>
      </w:r>
      <w:r>
        <w:rPr/>
        <w:instrText> HYPERLINK "mailto:to77@fas.gov.ru" </w:instrText>
      </w:r>
      <w:r>
        <w:fldChar w:fldCharType="separate"/>
      </w:r>
      <w:r>
        <w:rPr>
          <w:rStyle w:val="CharStyle5"/>
          <w:u w:val="single"/>
          <w:lang w:val="en-US" w:eastAsia="en-US"/>
        </w:rPr>
        <w:t>to77@fas.gov.ru</w:t>
      </w:r>
      <w:r>
        <w:fldChar w:fldCharType="end"/>
      </w:r>
    </w:p>
    <w:p>
      <w:pPr>
        <w:pStyle w:val="Style8"/>
        <w:keepNext/>
        <w:keepLines/>
        <w:framePr w:w="10032" w:h="5731" w:wrap="none" w:hAnchor="page" w:x="1333" w:y="961"/>
        <w:widowControl w:val="0"/>
        <w:shd w:val="clear" w:color="auto" w:fill="auto"/>
        <w:bidi w:val="0"/>
        <w:spacing w:before="0" w:after="200" w:line="240" w:lineRule="auto"/>
        <w:ind w:left="1780" w:right="0" w:firstLine="0"/>
        <w:jc w:val="left"/>
      </w:pPr>
      <w:bookmarkStart w:id="0" w:name="bookmark0"/>
      <w:r>
        <w:rPr>
          <w:rStyle w:val="CharStyle9"/>
        </w:rPr>
        <w:t xml:space="preserve">№ </w:t>
      </w:r>
      <w:r>
        <w:rPr>
          <w:rStyle w:val="CharStyle9"/>
          <w:u w:val="single"/>
        </w:rPr>
        <w:t>10943/26</w:t>
      </w:r>
      <w:bookmarkEnd w:id="0"/>
    </w:p>
    <w:p>
      <w:pPr>
        <w:pStyle w:val="Style2"/>
        <w:keepNext w:val="0"/>
        <w:keepLines w:val="0"/>
        <w:framePr w:w="10032" w:h="5731" w:wrap="none" w:hAnchor="page" w:x="1333" w:y="961"/>
        <w:widowControl w:val="0"/>
        <w:shd w:val="clear" w:color="auto" w:fill="auto"/>
        <w:tabs>
          <w:tab w:leader="underscore" w:pos="3796" w:val="left"/>
        </w:tabs>
        <w:bidi w:val="0"/>
        <w:spacing w:before="0" w:after="620" w:line="240" w:lineRule="auto"/>
        <w:ind w:left="1780" w:right="0" w:firstLine="0"/>
        <w:jc w:val="left"/>
      </w:pPr>
      <w:r>
        <w:rPr>
          <w:rStyle w:val="CharStyle3"/>
          <w:color w:val="46609A"/>
        </w:rPr>
        <w:t xml:space="preserve">ОТ </w:t>
        <w:tab/>
      </w:r>
    </w:p>
    <w:p>
      <w:pPr>
        <w:pStyle w:val="Style2"/>
        <w:keepNext w:val="0"/>
        <w:keepLines w:val="0"/>
        <w:framePr w:w="10032" w:h="5731" w:wrap="none" w:hAnchor="page" w:x="1333" w:y="961"/>
        <w:widowControl w:val="0"/>
        <w:shd w:val="clear" w:color="auto" w:fill="auto"/>
        <w:bidi w:val="0"/>
        <w:spacing w:before="0" w:after="0" w:line="240" w:lineRule="auto"/>
        <w:ind w:left="0" w:right="0" w:firstLine="0"/>
        <w:jc w:val="center"/>
      </w:pPr>
      <w:r>
        <w:rPr>
          <w:rStyle w:val="CharStyle3"/>
          <w:b/>
          <w:bCs/>
        </w:rPr>
        <w:t>РЕШЕНИЕ</w:t>
      </w:r>
    </w:p>
    <w:p>
      <w:pPr>
        <w:pStyle w:val="Style2"/>
        <w:keepNext w:val="0"/>
        <w:keepLines w:val="0"/>
        <w:framePr w:w="10032" w:h="5731" w:wrap="none" w:hAnchor="page" w:x="1333" w:y="961"/>
        <w:widowControl w:val="0"/>
        <w:shd w:val="clear" w:color="auto" w:fill="auto"/>
        <w:bidi w:val="0"/>
        <w:spacing w:before="0" w:after="0" w:line="240" w:lineRule="auto"/>
        <w:ind w:left="0" w:right="0" w:firstLine="0"/>
        <w:jc w:val="center"/>
      </w:pPr>
      <w:r>
        <w:rPr>
          <w:rStyle w:val="CharStyle3"/>
          <w:b/>
          <w:bCs/>
        </w:rPr>
        <w:t>по делу № 077/06/105-3010/2026 о нарушении</w:t>
        <w:br/>
        <w:t>законодательства о контрактной системе</w:t>
      </w:r>
    </w:p>
    <w:p>
      <w:pPr>
        <w:pStyle w:val="Style2"/>
        <w:keepNext w:val="0"/>
        <w:keepLines w:val="0"/>
        <w:framePr w:w="10032" w:h="5731" w:wrap="none" w:hAnchor="page" w:x="1333" w:y="961"/>
        <w:widowControl w:val="0"/>
        <w:shd w:val="clear" w:color="auto" w:fill="auto"/>
        <w:bidi w:val="0"/>
        <w:spacing w:before="0" w:after="0" w:line="240" w:lineRule="auto"/>
        <w:ind w:left="0" w:right="0" w:firstLine="0"/>
        <w:jc w:val="right"/>
      </w:pPr>
      <w:r>
        <w:rPr>
          <w:rStyle w:val="CharStyle3"/>
          <w:b/>
          <w:bCs/>
        </w:rPr>
        <w:t>г. Москва</w:t>
      </w:r>
    </w:p>
    <w:p>
      <w:pPr>
        <w:pStyle w:val="Style2"/>
        <w:keepNext w:val="0"/>
        <w:keepLines w:val="0"/>
        <w:framePr w:w="10032" w:h="5731" w:wrap="none" w:hAnchor="page" w:x="1333" w:y="961"/>
        <w:widowControl w:val="0"/>
        <w:shd w:val="clear" w:color="auto" w:fill="auto"/>
        <w:bidi w:val="0"/>
        <w:spacing w:before="0" w:after="200" w:line="240" w:lineRule="auto"/>
        <w:ind w:left="1780" w:right="0" w:firstLine="0"/>
        <w:jc w:val="left"/>
      </w:pPr>
      <w:r>
        <w:rPr>
          <w:rStyle w:val="CharStyle3"/>
        </w:rPr>
        <w:t>по контролю в сфере закупок товаров, работ, услуг Управления</w:t>
      </w:r>
    </w:p>
    <w:p>
      <w:pPr>
        <w:pStyle w:val="Style2"/>
        <w:keepNext w:val="0"/>
        <w:keepLines w:val="0"/>
        <w:framePr w:w="4301" w:h="715" w:wrap="none" w:hAnchor="page" w:x="6406" w:y="1835"/>
        <w:widowControl w:val="0"/>
        <w:shd w:val="clear" w:color="auto" w:fill="auto"/>
        <w:bidi w:val="0"/>
        <w:spacing w:before="0" w:after="0" w:line="240" w:lineRule="auto"/>
        <w:ind w:left="0" w:right="0" w:firstLine="0"/>
        <w:jc w:val="left"/>
      </w:pPr>
      <w:r>
        <w:rPr>
          <w:rStyle w:val="CharStyle3"/>
        </w:rPr>
        <w:t xml:space="preserve">ФГБУ «РНЦРР» Минздрава России </w:t>
      </w:r>
      <w:r>
        <w:fldChar w:fldCharType="begin"/>
      </w:r>
      <w:r>
        <w:rPr/>
        <w:instrText> HYPERLINK "mailto:torgi.rncrr@mail.ru" </w:instrText>
      </w:r>
      <w:r>
        <w:fldChar w:fldCharType="separate"/>
      </w:r>
      <w:r>
        <w:rPr>
          <w:rStyle w:val="CharStyle3"/>
          <w:lang w:val="en-US" w:eastAsia="en-US"/>
        </w:rPr>
        <w:t>torgi.rncrr@mail.ru</w:t>
      </w:r>
      <w:r>
        <w:fldChar w:fldCharType="end"/>
      </w:r>
    </w:p>
    <w:p>
      <w:pPr>
        <w:pStyle w:val="Style2"/>
        <w:keepNext w:val="0"/>
        <w:keepLines w:val="0"/>
        <w:framePr w:w="2971" w:h="720" w:wrap="none" w:hAnchor="page" w:x="6411" w:y="2799"/>
        <w:widowControl w:val="0"/>
        <w:shd w:val="clear" w:color="auto" w:fill="auto"/>
        <w:bidi w:val="0"/>
        <w:spacing w:before="0" w:after="0" w:line="240" w:lineRule="auto"/>
        <w:ind w:left="0" w:right="0" w:firstLine="0"/>
        <w:jc w:val="left"/>
      </w:pPr>
      <w:r>
        <w:rPr>
          <w:rStyle w:val="CharStyle3"/>
        </w:rPr>
        <w:t>ООО «Просервис»</w:t>
      </w:r>
    </w:p>
    <w:p>
      <w:pPr>
        <w:pStyle w:val="Style2"/>
        <w:keepNext w:val="0"/>
        <w:keepLines w:val="0"/>
        <w:framePr w:w="2971" w:h="720" w:wrap="none" w:hAnchor="page" w:x="6411" w:y="2799"/>
        <w:widowControl w:val="0"/>
        <w:shd w:val="clear" w:color="auto" w:fill="auto"/>
        <w:bidi w:val="0"/>
        <w:spacing w:before="0" w:after="0" w:line="240" w:lineRule="auto"/>
        <w:ind w:left="0" w:right="0" w:firstLine="0"/>
        <w:jc w:val="left"/>
      </w:pPr>
      <w:r>
        <w:fldChar w:fldCharType="begin"/>
      </w:r>
      <w:r>
        <w:rPr/>
        <w:instrText> HYPERLINK "mailto:ooo.proservis.99@mail.ru" </w:instrText>
      </w:r>
      <w:r>
        <w:fldChar w:fldCharType="separate"/>
      </w:r>
      <w:r>
        <w:rPr>
          <w:rStyle w:val="CharStyle3"/>
          <w:lang w:val="en-US" w:eastAsia="en-US"/>
        </w:rPr>
        <w:t>ooo.proservis.99@mail.ru</w:t>
      </w:r>
      <w:r>
        <w:fldChar w:fldCharType="end"/>
      </w:r>
    </w:p>
    <w:p>
      <w:pPr>
        <w:pStyle w:val="Style8"/>
        <w:keepNext/>
        <w:keepLines/>
        <w:framePr w:w="1915" w:h="878" w:wrap="none" w:hAnchor="page" w:x="1136" w:y="3524"/>
        <w:widowControl w:val="0"/>
        <w:shd w:val="clear" w:color="auto" w:fill="auto"/>
        <w:bidi w:val="0"/>
        <w:spacing w:before="0" w:after="260" w:line="240" w:lineRule="auto"/>
        <w:ind w:left="0" w:right="0" w:firstLine="160"/>
        <w:jc w:val="left"/>
      </w:pPr>
      <w:bookmarkStart w:id="2" w:name="bookmark2"/>
      <w:r>
        <w:rPr>
          <w:rStyle w:val="CharStyle9"/>
        </w:rPr>
        <w:t>1</w:t>
      </w:r>
      <w:r>
        <w:fldChar w:fldCharType="begin"/>
      </w:r>
      <w:r>
        <w:rPr/>
        <w:instrText> HYPERLINK "file://f207ca94-a13c-4ba0-b72d-f018c9eed8f1/" </w:instrText>
      </w:r>
      <w:r>
        <w:fldChar w:fldCharType="separate"/>
      </w:r>
      <w:r>
        <w:rPr>
          <w:rStyle w:val="CharStyle9"/>
        </w:rPr>
        <w:t>9.03 2 02 6</w:t>
      </w:r>
      <w:bookmarkEnd w:id="2"/>
      <w:r>
        <w:fldChar w:fldCharType="end"/>
      </w:r>
    </w:p>
    <w:p>
      <w:pPr>
        <w:pStyle w:val="Style4"/>
        <w:keepNext w:val="0"/>
        <w:keepLines w:val="0"/>
        <w:framePr w:w="1915" w:h="878" w:wrap="none" w:hAnchor="page" w:x="1136" w:y="3524"/>
        <w:widowControl w:val="0"/>
        <w:shd w:val="clear" w:color="auto" w:fill="auto"/>
        <w:tabs>
          <w:tab w:leader="underscore" w:pos="1858" w:val="left"/>
        </w:tabs>
        <w:bidi w:val="0"/>
        <w:spacing w:before="0" w:after="0" w:line="240" w:lineRule="auto"/>
        <w:ind w:left="0" w:right="0" w:firstLine="0"/>
        <w:jc w:val="left"/>
      </w:pPr>
      <w:r>
        <w:rPr>
          <w:rStyle w:val="CharStyle5"/>
        </w:rPr>
        <w:t xml:space="preserve">На№ </w:t>
        <w:tab/>
      </w:r>
    </w:p>
    <w:p>
      <w:pPr>
        <w:pStyle w:val="Style2"/>
        <w:keepNext w:val="0"/>
        <w:keepLines w:val="0"/>
        <w:framePr w:w="1872" w:h="725" w:wrap="none" w:hAnchor="page" w:x="1126" w:y="5967"/>
        <w:widowControl w:val="0"/>
        <w:shd w:val="clear" w:color="auto" w:fill="auto"/>
        <w:bidi w:val="0"/>
        <w:spacing w:before="0" w:after="0" w:line="240" w:lineRule="auto"/>
        <w:ind w:left="0" w:right="0" w:firstLine="0"/>
        <w:jc w:val="left"/>
      </w:pPr>
      <w:r>
        <w:rPr>
          <w:rStyle w:val="CharStyle3"/>
          <w:b/>
          <w:bCs/>
        </w:rPr>
        <w:t>16.03.2026</w:t>
      </w:r>
    </w:p>
    <w:p>
      <w:pPr>
        <w:pStyle w:val="Style2"/>
        <w:keepNext w:val="0"/>
        <w:keepLines w:val="0"/>
        <w:framePr w:w="1872" w:h="725" w:wrap="none" w:hAnchor="page" w:x="1126" w:y="5967"/>
        <w:widowControl w:val="0"/>
        <w:shd w:val="clear" w:color="auto" w:fill="auto"/>
        <w:bidi w:val="0"/>
        <w:spacing w:before="0" w:after="0" w:line="240" w:lineRule="auto"/>
        <w:ind w:left="0" w:right="0" w:firstLine="680"/>
        <w:jc w:val="both"/>
      </w:pPr>
      <w:r>
        <w:rPr>
          <w:rStyle w:val="CharStyle3"/>
        </w:rPr>
        <w:t>Комиссия</w:t>
      </w:r>
    </w:p>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0"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536" w:bottom="602" w:left="1106"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0" w:line="240" w:lineRule="auto"/>
        <w:ind w:left="0" w:right="0" w:firstLine="0"/>
        <w:jc w:val="both"/>
      </w:pPr>
      <w:r>
        <w:rPr>
          <w:rStyle w:val="CharStyle3"/>
        </w:rPr>
        <w:t>Федеральной антимонопольной службы по г. Москве (далее – Комиссия Управления) в составе:</w:t>
      </w:r>
    </w:p>
    <w:p>
      <w:pPr>
        <w:pStyle w:val="Style2"/>
        <w:keepNext w:val="0"/>
        <w:keepLines w:val="0"/>
        <w:widowControl w:val="0"/>
        <w:shd w:val="clear" w:color="auto" w:fill="auto"/>
        <w:bidi w:val="0"/>
        <w:spacing w:before="0" w:after="0" w:line="240" w:lineRule="auto"/>
        <w:ind w:left="0" w:right="0" w:firstLine="700"/>
        <w:jc w:val="both"/>
      </w:pPr>
      <w:r>
        <w:rPr>
          <w:rStyle w:val="CharStyle3"/>
        </w:rPr>
        <w:t>Председательствующего – главного государственного инспектора отдела обжалования государственных закупок А.А. Кутейникова,</w:t>
      </w:r>
    </w:p>
    <w:p>
      <w:pPr>
        <w:pStyle w:val="Style2"/>
        <w:keepNext w:val="0"/>
        <w:keepLines w:val="0"/>
        <w:widowControl w:val="0"/>
        <w:shd w:val="clear" w:color="auto" w:fill="auto"/>
        <w:bidi w:val="0"/>
        <w:spacing w:before="0" w:after="0" w:line="240" w:lineRule="auto"/>
        <w:ind w:left="0" w:right="0" w:firstLine="700"/>
        <w:jc w:val="both"/>
      </w:pPr>
      <w:r>
        <w:rPr>
          <w:rStyle w:val="CharStyle3"/>
        </w:rPr>
        <w:t>Членов Комиссии: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Ведущего специалиста-эксперта отдела обжалования государственных закупок М.В. Сорбучевой,</w:t>
      </w:r>
    </w:p>
    <w:p>
      <w:pPr>
        <w:pStyle w:val="Style2"/>
        <w:keepNext w:val="0"/>
        <w:keepLines w:val="0"/>
        <w:widowControl w:val="0"/>
        <w:shd w:val="clear" w:color="auto" w:fill="auto"/>
        <w:bidi w:val="0"/>
        <w:spacing w:before="0" w:after="0" w:line="240" w:lineRule="auto"/>
        <w:ind w:left="0" w:right="0" w:firstLine="700"/>
        <w:jc w:val="both"/>
      </w:pPr>
      <w:r>
        <w:rPr>
          <w:rStyle w:val="CharStyle3"/>
        </w:rPr>
        <w:t>Специалиста-эксперта отдела обжалования государственных закупок А.С. Гелмутдиновой,</w:t>
      </w:r>
    </w:p>
    <w:p>
      <w:pPr>
        <w:pStyle w:val="Style2"/>
        <w:keepNext w:val="0"/>
        <w:keepLines w:val="0"/>
        <w:widowControl w:val="0"/>
        <w:shd w:val="clear" w:color="auto" w:fill="auto"/>
        <w:bidi w:val="0"/>
        <w:spacing w:before="0" w:after="0" w:line="240" w:lineRule="auto"/>
        <w:ind w:left="0" w:right="0" w:firstLine="700"/>
        <w:jc w:val="both"/>
      </w:pPr>
      <w:r>
        <w:rPr>
          <w:rStyle w:val="CharStyle3"/>
        </w:rPr>
        <w:t>рассмотрение жалобы проводилось дистанционно (посредством видеоконференцсвязи),</w:t>
      </w:r>
    </w:p>
    <w:p>
      <w:pPr>
        <w:pStyle w:val="Style2"/>
        <w:keepNext w:val="0"/>
        <w:keepLines w:val="0"/>
        <w:widowControl w:val="0"/>
        <w:shd w:val="clear" w:color="auto" w:fill="auto"/>
        <w:bidi w:val="0"/>
        <w:spacing w:before="0" w:after="0" w:line="240" w:lineRule="auto"/>
        <w:ind w:left="0" w:right="0" w:firstLine="700"/>
        <w:jc w:val="both"/>
      </w:pPr>
      <w:r>
        <w:rPr>
          <w:rStyle w:val="CharStyle3"/>
        </w:rPr>
        <w:t>при участии представителей ФГБУ «РНЦРР» Минздрава России: П.Ю. Шиляева (по дов. от 04.02.2026 №12), Р.В. Еремина (по дов. от 21.01.2026 №28), участвующих до и после переноса заседания,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при участии слушателя ФГБУ «РНЦРР» Минздрава России: В.Б. Ким,</w:t>
      </w:r>
    </w:p>
    <w:p>
      <w:pPr>
        <w:pStyle w:val="Style2"/>
        <w:keepNext w:val="0"/>
        <w:keepLines w:val="0"/>
        <w:widowControl w:val="0"/>
        <w:shd w:val="clear" w:color="auto" w:fill="auto"/>
        <w:bidi w:val="0"/>
        <w:spacing w:before="0" w:after="0" w:line="240" w:lineRule="auto"/>
        <w:ind w:left="0" w:right="0" w:firstLine="700"/>
        <w:jc w:val="both"/>
      </w:pPr>
      <w:r>
        <w:rPr>
          <w:rStyle w:val="CharStyle3"/>
        </w:rPr>
        <w:t>в отсутствие представителей ООО «Просервис»,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рассмотрев жалобу ООО «Просервис» (далее — Заявитель) на действия ФГБУ «РНЦРР» Минздрава России (далее — Заказчик) при проведении электронного аукциона на право заключения государственного контракта на поставку расходных материалов для офисной техники (Закупка №0373100032626000078) (далее – аукцион, электронный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after="456" w:line="1" w:lineRule="exact"/>
      </w:pPr>
      <w:r>
        <w:drawing>
          <wp:anchor distT="0" distB="0" distL="0" distR="0" simplePos="0" relativeHeight="62914697" behindDoc="1" locked="0" layoutInCell="1" allowOverlap="1">
            <wp:simplePos x="0" y="0"/>
            <wp:positionH relativeFrom="page">
              <wp:posOffset>717550</wp:posOffset>
            </wp:positionH>
            <wp:positionV relativeFrom="paragraph">
              <wp:posOffset>0</wp:posOffset>
            </wp:positionV>
            <wp:extent cx="1511935" cy="292735"/>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511935" cy="292735"/>
                    </a:xfrm>
                    <a:prstGeom prst="rect"/>
                  </pic:spPr>
                </pic:pic>
              </a:graphicData>
            </a:graphic>
          </wp:anchor>
        </w:drawing>
      </w:r>
    </w:p>
    <w:p>
      <w:pPr>
        <w:pStyle w:val="Style2"/>
        <w:keepNext w:val="0"/>
        <w:keepLines w:val="0"/>
        <w:widowControl w:val="0"/>
        <w:shd w:val="clear" w:color="auto" w:fill="auto"/>
        <w:bidi w:val="0"/>
        <w:spacing w:before="0" w:after="240" w:line="240" w:lineRule="auto"/>
        <w:ind w:left="0" w:right="0" w:firstLine="0"/>
        <w:jc w:val="center"/>
      </w:pPr>
      <w:r>
        <w:rPr>
          <w:rStyle w:val="CharStyle3"/>
          <w:b/>
          <w:bCs/>
        </w:rPr>
        <w:t>УСТАНОВИЛА:</w:t>
      </w:r>
    </w:p>
    <w:p>
      <w:pPr>
        <w:pStyle w:val="Style2"/>
        <w:keepNext w:val="0"/>
        <w:keepLines w:val="0"/>
        <w:widowControl w:val="0"/>
        <w:shd w:val="clear" w:color="auto" w:fill="auto"/>
        <w:bidi w:val="0"/>
        <w:spacing w:before="0" w:after="0" w:line="240" w:lineRule="auto"/>
        <w:ind w:left="0" w:right="0" w:firstLine="700"/>
        <w:jc w:val="both"/>
      </w:pPr>
      <w:r>
        <w:rPr>
          <w:rStyle w:val="CharStyle3"/>
        </w:rPr>
        <w:t>В Московское УФАС России поступила жалоба Заявителя на действия Заказчика при проведении вышеуказанного аукциона.</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составе жалобы Заявитель указывает, что Заказчиком в извещении об осуществлении закупки неправомерно установлено требование о поставке исключительно оригинальных товаров без возможности поставки эквивалентной продукции, что также влечет за собой невозможным применение защитных мер, предусмотренных положениями Постановления Правительства РФ от </w:t>
      </w:r>
      <w:r>
        <w:rPr>
          <w:rStyle w:val="CharStyle3"/>
          <w:lang w:val="en-US" w:eastAsia="en-US"/>
        </w:rPr>
        <w:t xml:space="preserve">23.12.2024 №1875 </w:t>
      </w:r>
      <w:r>
        <w:rPr>
          <w:rStyle w:val="CharStyle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Постановление </w:t>
      </w:r>
      <w:r>
        <w:rPr>
          <w:rStyle w:val="CharStyle3"/>
          <w:lang w:val="en-US" w:eastAsia="en-US"/>
        </w:rPr>
        <w:t>№ 1875).</w:t>
      </w:r>
    </w:p>
    <w:p>
      <w:pPr>
        <w:pStyle w:val="Style2"/>
        <w:keepNext w:val="0"/>
        <w:keepLines w:val="0"/>
        <w:widowControl w:val="0"/>
        <w:shd w:val="clear" w:color="auto" w:fill="auto"/>
        <w:bidi w:val="0"/>
        <w:spacing w:before="0" w:after="0" w:line="240" w:lineRule="auto"/>
        <w:ind w:left="0" w:right="0" w:firstLine="700"/>
        <w:jc w:val="both"/>
      </w:pPr>
      <w:r>
        <w:rPr>
          <w:rStyle w:val="CharStyle3"/>
        </w:rPr>
        <w:t>Вместе с тем подателем жалобы отмечено, что производитель в руководстве по эксплуатации печатного оборудования Заказчика указал на рекомендацию, а не на запрет использования оригинальных картриджей, что послужило основанием для подачи жалобы.</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w:t>
      </w:r>
      <w:r>
        <w:rPr>
          <w:rStyle w:val="CharStyle3"/>
          <w:lang w:val="en-US" w:eastAsia="en-US"/>
        </w:rPr>
        <w:t xml:space="preserve">33 </w:t>
      </w:r>
      <w:r>
        <w:rPr>
          <w:rStyle w:val="CharStyle3"/>
        </w:rPr>
        <w:t>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1"/>
        </w:numPr>
        <w:shd w:val="clear" w:color="auto" w:fill="auto"/>
        <w:tabs>
          <w:tab w:pos="1439" w:val="left"/>
        </w:tabs>
        <w:bidi w:val="0"/>
        <w:spacing w:before="0" w:after="0" w:line="240" w:lineRule="auto"/>
        <w:ind w:left="0" w:right="0" w:firstLine="700"/>
        <w:jc w:val="both"/>
      </w:pPr>
      <w:r>
        <w:rPr>
          <w:rStyle w:val="CharStyle3"/>
        </w:rPr>
        <w:t>сопровождение такого указания словами «или эквивалент»;</w:t>
      </w:r>
    </w:p>
    <w:p>
      <w:pPr>
        <w:pStyle w:val="Style2"/>
        <w:keepNext w:val="0"/>
        <w:keepLines w:val="0"/>
        <w:widowControl w:val="0"/>
        <w:numPr>
          <w:ilvl w:val="0"/>
          <w:numId w:val="1"/>
        </w:numPr>
        <w:shd w:val="clear" w:color="auto" w:fill="auto"/>
        <w:tabs>
          <w:tab w:pos="1422" w:val="left"/>
        </w:tabs>
        <w:bidi w:val="0"/>
        <w:spacing w:before="0" w:after="0" w:line="240" w:lineRule="auto"/>
        <w:ind w:left="0" w:right="0" w:firstLine="700"/>
        <w:jc w:val="both"/>
      </w:pPr>
      <w:r>
        <w:rPr>
          <w:rStyle w:val="CharStyle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1"/>
        </w:numPr>
        <w:shd w:val="clear" w:color="auto" w:fill="auto"/>
        <w:tabs>
          <w:tab w:pos="1422" w:val="left"/>
        </w:tabs>
        <w:bidi w:val="0"/>
        <w:spacing w:before="0" w:after="0" w:line="240" w:lineRule="auto"/>
        <w:ind w:left="0" w:right="0" w:firstLine="700"/>
        <w:jc w:val="both"/>
      </w:pPr>
      <w:r>
        <w:rPr>
          <w:rStyle w:val="CharStyle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1"/>
        </w:numPr>
        <w:shd w:val="clear" w:color="auto" w:fill="auto"/>
        <w:tabs>
          <w:tab w:pos="1422" w:val="left"/>
        </w:tabs>
        <w:bidi w:val="0"/>
        <w:spacing w:before="0" w:after="120" w:line="240" w:lineRule="auto"/>
        <w:ind w:left="0" w:right="0" w:firstLine="700"/>
        <w:jc w:val="both"/>
        <w:sectPr>
          <w:footnotePr>
            <w:pos w:val="pageBottom"/>
            <w:numFmt w:val="decimal"/>
            <w:numRestart w:val="continuous"/>
          </w:footnotePr>
          <w:type w:val="continuous"/>
          <w:pgSz w:w="11900" w:h="16840"/>
          <w:pgMar w:top="1158" w:right="539" w:bottom="1163" w:left="1104" w:header="0" w:footer="3" w:gutter="0"/>
          <w:cols w:space="720"/>
          <w:noEndnote/>
          <w:rtlGutter w:val="0"/>
          <w:docGrid w:linePitch="360"/>
        </w:sectPr>
      </w:pPr>
      <w:r>
        <w:rPr>
          <w:rStyle w:val="CharStyle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w:t>
      </w:r>
    </w:p>
    <w:p>
      <w:pPr>
        <w:pStyle w:val="Style2"/>
        <w:keepNext w:val="0"/>
        <w:keepLines w:val="0"/>
        <w:widowControl w:val="0"/>
        <w:shd w:val="clear" w:color="auto" w:fill="auto"/>
        <w:bidi w:val="0"/>
        <w:spacing w:before="0" w:after="0" w:line="240" w:lineRule="auto"/>
        <w:ind w:left="0" w:right="0" w:firstLine="0"/>
        <w:jc w:val="both"/>
      </w:pPr>
      <w:r>
        <w:rPr>
          <w:rStyle w:val="CharStyle3"/>
        </w:rPr>
        <w:t>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Таким образом,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3"/>
          <w:lang w:val="en-US" w:eastAsia="en-US"/>
        </w:rPr>
        <w:t xml:space="preserve">- </w:t>
      </w:r>
      <w:r>
        <w:rPr>
          <w:rStyle w:val="CharStyle3"/>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соответствия описания объекта закупки требованиям действующего законодательства.</w:t>
      </w:r>
    </w:p>
    <w:p>
      <w:pPr>
        <w:pStyle w:val="Style2"/>
        <w:keepNext w:val="0"/>
        <w:keepLines w:val="0"/>
        <w:widowControl w:val="0"/>
        <w:shd w:val="clear" w:color="auto" w:fill="auto"/>
        <w:bidi w:val="0"/>
        <w:spacing w:before="0" w:after="0" w:line="240" w:lineRule="auto"/>
        <w:ind w:left="0" w:right="0" w:firstLine="720"/>
        <w:jc w:val="both"/>
      </w:pPr>
      <w:r>
        <w:rPr>
          <w:rStyle w:val="CharStyle3"/>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Комиссией Управления установлено, что согласно описанию объектов закупки Заказчиком установлены следующие требования к закупаемым расходным материалам, в частности: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по п.«Картридж для электрографических печатающих устройств Идентификатор: </w:t>
      </w:r>
      <w:r>
        <w:rPr>
          <w:rStyle w:val="CharStyle3"/>
          <w:lang w:val="en-US" w:eastAsia="en-US"/>
        </w:rPr>
        <w:t xml:space="preserve">206115500» </w:t>
      </w:r>
      <w:r>
        <w:rPr>
          <w:rStyle w:val="CharStyle3"/>
        </w:rPr>
        <w:t xml:space="preserve">позиции КТРУ </w:t>
      </w:r>
      <w:r>
        <w:rPr>
          <w:rStyle w:val="CharStyle3"/>
          <w:lang w:val="en-US" w:eastAsia="en-US"/>
        </w:rPr>
        <w:t>20.59.12.120-00000002</w:t>
      </w:r>
      <w:r>
        <w:rPr>
          <w:rStyle w:val="CharStyle3"/>
          <w:i/>
          <w:iCs/>
          <w:lang w:val="en-US" w:eastAsia="en-US"/>
        </w:rPr>
        <w:t xml:space="preserve">: </w:t>
      </w:r>
      <w:r>
        <w:rPr>
          <w:rStyle w:val="CharStyle3"/>
          <w:i/>
          <w:iCs/>
        </w:rPr>
        <w:t xml:space="preserve">«Наименование: Тонер-картридж </w:t>
      </w:r>
      <w:r>
        <w:rPr>
          <w:rStyle w:val="CharStyle3"/>
          <w:i/>
          <w:iCs/>
          <w:lang w:val="en-US" w:eastAsia="en-US"/>
        </w:rPr>
        <w:t xml:space="preserve">Canon 731 Magenta* </w:t>
      </w:r>
      <w:r>
        <w:rPr>
          <w:rStyle w:val="CharStyle3"/>
          <w:i/>
          <w:iCs/>
        </w:rPr>
        <w:t xml:space="preserve">Тип: оригинальный Для устройства: </w:t>
      </w:r>
      <w:r>
        <w:rPr>
          <w:rStyle w:val="CharStyle3"/>
          <w:i/>
          <w:iCs/>
          <w:lang w:val="en-US" w:eastAsia="en-US"/>
        </w:rPr>
        <w:t xml:space="preserve">LBP7100C/7110C </w:t>
      </w:r>
      <w:r>
        <w:rPr>
          <w:rStyle w:val="CharStyle3"/>
          <w:i/>
          <w:iCs/>
        </w:rPr>
        <w:t>Цвет: пурпурный: соответствие»;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по п.«Картридж для электрографических печатающих устройств Идентификатор: </w:t>
      </w:r>
      <w:r>
        <w:rPr>
          <w:rStyle w:val="CharStyle3"/>
          <w:lang w:val="en-US" w:eastAsia="en-US"/>
        </w:rPr>
        <w:t xml:space="preserve">206434453» </w:t>
      </w:r>
      <w:r>
        <w:rPr>
          <w:rStyle w:val="CharStyle3"/>
        </w:rPr>
        <w:t xml:space="preserve">позиции КТРУ </w:t>
      </w:r>
      <w:r>
        <w:rPr>
          <w:rStyle w:val="CharStyle3"/>
          <w:lang w:val="en-US" w:eastAsia="en-US"/>
        </w:rPr>
        <w:t>20.59.12.120-00000002</w:t>
      </w:r>
      <w:r>
        <w:rPr>
          <w:rStyle w:val="CharStyle3"/>
          <w:i/>
          <w:iCs/>
          <w:lang w:val="en-US" w:eastAsia="en-US"/>
        </w:rPr>
        <w:t xml:space="preserve">: </w:t>
      </w:r>
      <w:r>
        <w:rPr>
          <w:rStyle w:val="CharStyle3"/>
          <w:i/>
          <w:iCs/>
        </w:rPr>
        <w:t xml:space="preserve">«Наименование: Картридж </w:t>
      </w:r>
      <w:r>
        <w:rPr>
          <w:rStyle w:val="CharStyle3"/>
          <w:i/>
          <w:iCs/>
          <w:lang w:val="en-US" w:eastAsia="en-US"/>
        </w:rPr>
        <w:t xml:space="preserve">HP CB540A №125A* </w:t>
      </w:r>
      <w:r>
        <w:rPr>
          <w:rStyle w:val="CharStyle3"/>
          <w:i/>
          <w:iCs/>
        </w:rPr>
        <w:t xml:space="preserve">Тип: оригинальный Для устройства: </w:t>
      </w:r>
      <w:r>
        <w:rPr>
          <w:rStyle w:val="CharStyle3"/>
          <w:i/>
          <w:iCs/>
          <w:lang w:val="en-US" w:eastAsia="en-US"/>
        </w:rPr>
        <w:t xml:space="preserve">HP Color LaserJet 1312/1210/1215/1510/1514 </w:t>
      </w:r>
      <w:r>
        <w:rPr>
          <w:rStyle w:val="CharStyle3"/>
          <w:i/>
          <w:iCs/>
        </w:rPr>
        <w:t>Цвет: черный: соответствие»;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по п.«Фотобарабан </w:t>
      </w:r>
      <w:r>
        <w:rPr>
          <w:rStyle w:val="CharStyle3"/>
          <w:lang w:val="en-US" w:eastAsia="en-US"/>
        </w:rPr>
        <w:t xml:space="preserve">Kyocera DK-1150* </w:t>
      </w:r>
      <w:r>
        <w:rPr>
          <w:rStyle w:val="CharStyle3"/>
        </w:rPr>
        <w:t xml:space="preserve">Идентификатор: </w:t>
      </w:r>
      <w:r>
        <w:rPr>
          <w:rStyle w:val="CharStyle3"/>
          <w:lang w:val="en-US" w:eastAsia="en-US"/>
        </w:rPr>
        <w:t xml:space="preserve">2064595873» </w:t>
      </w:r>
      <w:r>
        <w:rPr>
          <w:rStyle w:val="CharStyle3"/>
        </w:rPr>
        <w:t xml:space="preserve">кода ОКПД2 </w:t>
      </w:r>
      <w:r>
        <w:rPr>
          <w:rStyle w:val="CharStyle3"/>
          <w:lang w:val="en-US" w:eastAsia="en-US"/>
        </w:rPr>
        <w:t>28.23.25.000</w:t>
      </w:r>
      <w:r>
        <w:rPr>
          <w:rStyle w:val="CharStyle3"/>
          <w:i/>
          <w:iCs/>
          <w:lang w:val="en-US" w:eastAsia="en-US"/>
        </w:rPr>
        <w:t xml:space="preserve">: </w:t>
      </w:r>
      <w:r>
        <w:rPr>
          <w:rStyle w:val="CharStyle3"/>
          <w:i/>
          <w:iCs/>
        </w:rPr>
        <w:t xml:space="preserve">«Тип: оригинальный Для устройства: </w:t>
      </w:r>
      <w:r>
        <w:rPr>
          <w:rStyle w:val="CharStyle3"/>
          <w:i/>
          <w:iCs/>
          <w:lang w:val="en-US" w:eastAsia="en-US"/>
        </w:rPr>
        <w:t xml:space="preserve">Kyocera Ecosys P2040/P2235/M2040/M2540/M2135/M2635/M2640/M2735 </w:t>
      </w:r>
      <w:r>
        <w:rPr>
          <w:rStyle w:val="CharStyle3"/>
          <w:i/>
          <w:iCs/>
        </w:rPr>
        <w:t>Цвет: черный: соответствие»;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по п.«Фотобарабан </w:t>
      </w:r>
      <w:r>
        <w:rPr>
          <w:rStyle w:val="CharStyle3"/>
          <w:lang w:val="en-US" w:eastAsia="en-US"/>
        </w:rPr>
        <w:t xml:space="preserve">Xerox 101R00474* </w:t>
      </w:r>
      <w:r>
        <w:rPr>
          <w:rStyle w:val="CharStyle3"/>
        </w:rPr>
        <w:t xml:space="preserve">Идентификатор: </w:t>
      </w:r>
      <w:r>
        <w:rPr>
          <w:rStyle w:val="CharStyle3"/>
          <w:lang w:val="en-US" w:eastAsia="en-US"/>
        </w:rPr>
        <w:t xml:space="preserve">206460689» </w:t>
      </w:r>
      <w:r>
        <w:rPr>
          <w:rStyle w:val="CharStyle3"/>
        </w:rPr>
        <w:t xml:space="preserve">кода ОКПД2 </w:t>
      </w:r>
      <w:r>
        <w:rPr>
          <w:rStyle w:val="CharStyle3"/>
          <w:lang w:val="en-US" w:eastAsia="en-US"/>
        </w:rPr>
        <w:t>28.23.25.000</w:t>
      </w:r>
      <w:r>
        <w:rPr>
          <w:rStyle w:val="CharStyle3"/>
          <w:i/>
          <w:iCs/>
          <w:lang w:val="en-US" w:eastAsia="en-US"/>
        </w:rPr>
        <w:t xml:space="preserve">: </w:t>
      </w:r>
      <w:r>
        <w:rPr>
          <w:rStyle w:val="CharStyle3"/>
          <w:i/>
          <w:iCs/>
        </w:rPr>
        <w:t xml:space="preserve">«Тип: оригинальный Для устройства: </w:t>
      </w:r>
      <w:r>
        <w:rPr>
          <w:rStyle w:val="CharStyle3"/>
          <w:i/>
          <w:iCs/>
          <w:lang w:val="en-US" w:eastAsia="en-US"/>
        </w:rPr>
        <w:t xml:space="preserve">Xerox 3052/3052DN/3215/3215DN/3225/3225DN/3260/3260DN </w:t>
      </w:r>
      <w:r>
        <w:rPr>
          <w:rStyle w:val="CharStyle3"/>
          <w:i/>
          <w:iCs/>
        </w:rPr>
        <w:t>Цвет: черный: соответствие»;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по п.«Фотобарабан </w:t>
      </w:r>
      <w:r>
        <w:rPr>
          <w:rStyle w:val="CharStyle3"/>
          <w:lang w:val="en-US" w:eastAsia="en-US"/>
        </w:rPr>
        <w:t xml:space="preserve">108R01151* </w:t>
      </w:r>
      <w:r>
        <w:rPr>
          <w:rStyle w:val="CharStyle3"/>
        </w:rPr>
        <w:t xml:space="preserve">Идентификатор: </w:t>
      </w:r>
      <w:r>
        <w:rPr>
          <w:rStyle w:val="CharStyle3"/>
          <w:lang w:val="en-US" w:eastAsia="en-US"/>
        </w:rPr>
        <w:t xml:space="preserve">206528708» </w:t>
      </w:r>
      <w:r>
        <w:rPr>
          <w:rStyle w:val="CharStyle3"/>
        </w:rPr>
        <w:t xml:space="preserve">кода ОКПД2 </w:t>
      </w:r>
      <w:r>
        <w:rPr>
          <w:rStyle w:val="CharStyle3"/>
          <w:lang w:val="en-US" w:eastAsia="en-US"/>
        </w:rPr>
        <w:t>28.23.25.000</w:t>
      </w:r>
      <w:r>
        <w:rPr>
          <w:rStyle w:val="CharStyle3"/>
          <w:i/>
          <w:iCs/>
          <w:lang w:val="en-US" w:eastAsia="en-US"/>
        </w:rPr>
        <w:t xml:space="preserve">: </w:t>
      </w:r>
      <w:r>
        <w:rPr>
          <w:rStyle w:val="CharStyle3"/>
          <w:i/>
          <w:iCs/>
        </w:rPr>
        <w:t xml:space="preserve">«Тип: оригинальный Для устройства: </w:t>
      </w:r>
      <w:r>
        <w:rPr>
          <w:rStyle w:val="CharStyle3"/>
          <w:i/>
          <w:iCs/>
          <w:lang w:val="en-US" w:eastAsia="en-US"/>
        </w:rPr>
        <w:t xml:space="preserve">Phaser 7100 </w:t>
      </w:r>
      <w:r>
        <w:rPr>
          <w:rStyle w:val="CharStyle3"/>
          <w:i/>
          <w:iCs/>
        </w:rPr>
        <w:t>Цвет: черный: соответствие»;</w:t>
      </w:r>
    </w:p>
    <w:p>
      <w:pPr>
        <w:pStyle w:val="Style2"/>
        <w:keepNext w:val="0"/>
        <w:keepLines w:val="0"/>
        <w:widowControl w:val="0"/>
        <w:shd w:val="clear" w:color="auto" w:fill="auto"/>
        <w:bidi w:val="0"/>
        <w:spacing w:before="0" w:after="0" w:line="343" w:lineRule="auto"/>
        <w:ind w:left="0" w:right="0" w:firstLine="720"/>
        <w:jc w:val="both"/>
        <w:rPr>
          <w:sz w:val="24"/>
          <w:szCs w:val="24"/>
        </w:rPr>
      </w:pPr>
      <w:r>
        <w:rPr>
          <w:rStyle w:val="CharStyle3"/>
        </w:rPr>
        <w:t xml:space="preserve">по п.«Картридж для электрографических печатающих устройств </w:t>
      </w:r>
      <w:r>
        <w:rPr>
          <w:rStyle w:val="CharStyle3"/>
          <w:sz w:val="24"/>
          <w:szCs w:val="24"/>
          <w:lang w:val="en-US" w:eastAsia="en-US"/>
        </w:rPr>
        <w:t>2026-12692</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Идентификатор: </w:t>
      </w:r>
      <w:r>
        <w:rPr>
          <w:rStyle w:val="CharStyle3"/>
          <w:lang w:val="en-US" w:eastAsia="en-US"/>
        </w:rPr>
        <w:t xml:space="preserve">206528709» </w:t>
      </w:r>
      <w:r>
        <w:rPr>
          <w:rStyle w:val="CharStyle3"/>
        </w:rPr>
        <w:t xml:space="preserve">позиции КТРУ </w:t>
      </w:r>
      <w:r>
        <w:rPr>
          <w:rStyle w:val="CharStyle3"/>
          <w:lang w:val="en-US" w:eastAsia="en-US"/>
        </w:rPr>
        <w:t>20.59.12.120-00000002</w:t>
      </w:r>
      <w:r>
        <w:rPr>
          <w:rStyle w:val="CharStyle3"/>
          <w:i/>
          <w:iCs/>
          <w:lang w:val="en-US" w:eastAsia="en-US"/>
        </w:rPr>
        <w:t xml:space="preserve">: </w:t>
      </w:r>
      <w:r>
        <w:rPr>
          <w:rStyle w:val="CharStyle3"/>
          <w:i/>
          <w:iCs/>
        </w:rPr>
        <w:t xml:space="preserve">«Наименование: Картридж </w:t>
      </w:r>
      <w:r>
        <w:rPr>
          <w:rStyle w:val="CharStyle3"/>
          <w:i/>
          <w:iCs/>
          <w:lang w:val="en-US" w:eastAsia="en-US"/>
        </w:rPr>
        <w:t xml:space="preserve">Ricoh IM600 (418478) * </w:t>
      </w:r>
      <w:r>
        <w:rPr>
          <w:rStyle w:val="CharStyle3"/>
          <w:i/>
          <w:iCs/>
        </w:rPr>
        <w:t xml:space="preserve">Тип: оригинальный Для устройства: </w:t>
      </w:r>
      <w:r>
        <w:rPr>
          <w:rStyle w:val="CharStyle3"/>
          <w:i/>
          <w:iCs/>
          <w:lang w:val="en-US" w:eastAsia="en-US"/>
        </w:rPr>
        <w:t xml:space="preserve">Ricoh IM550F/600F/600SRF/P800/801 </w:t>
      </w:r>
      <w:r>
        <w:rPr>
          <w:rStyle w:val="CharStyle3"/>
          <w:i/>
          <w:iCs/>
        </w:rPr>
        <w:t>Цвет: черный: соответствие»;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по п.«Картридж для электрографических печатающих устройств Идентификатор: </w:t>
      </w:r>
      <w:r>
        <w:rPr>
          <w:rStyle w:val="CharStyle3"/>
          <w:lang w:val="en-US" w:eastAsia="en-US"/>
        </w:rPr>
        <w:t xml:space="preserve">206530287» </w:t>
      </w:r>
      <w:r>
        <w:rPr>
          <w:rStyle w:val="CharStyle3"/>
        </w:rPr>
        <w:t xml:space="preserve">позиции КТРУ </w:t>
      </w:r>
      <w:r>
        <w:rPr>
          <w:rStyle w:val="CharStyle3"/>
          <w:lang w:val="en-US" w:eastAsia="en-US"/>
        </w:rPr>
        <w:t>20.59.12.120-00000002</w:t>
      </w:r>
      <w:r>
        <w:rPr>
          <w:rStyle w:val="CharStyle3"/>
          <w:i/>
          <w:iCs/>
          <w:lang w:val="en-US" w:eastAsia="en-US"/>
        </w:rPr>
        <w:t xml:space="preserve">: </w:t>
      </w:r>
      <w:r>
        <w:rPr>
          <w:rStyle w:val="CharStyle3"/>
          <w:i/>
          <w:iCs/>
        </w:rPr>
        <w:t xml:space="preserve">«Наименование: Тонер-картридж </w:t>
      </w:r>
      <w:r>
        <w:rPr>
          <w:rStyle w:val="CharStyle3"/>
          <w:i/>
          <w:iCs/>
          <w:lang w:val="en-US" w:eastAsia="en-US"/>
        </w:rPr>
        <w:t xml:space="preserve">Pantum TL-420X* </w:t>
      </w:r>
      <w:r>
        <w:rPr>
          <w:rStyle w:val="CharStyle3"/>
          <w:i/>
          <w:iCs/>
        </w:rPr>
        <w:t xml:space="preserve">Тип: оригинальный Для устройства: </w:t>
      </w:r>
      <w:r>
        <w:rPr>
          <w:rStyle w:val="CharStyle3"/>
          <w:i/>
          <w:iCs/>
          <w:lang w:val="en-US" w:eastAsia="en-US"/>
        </w:rPr>
        <w:t xml:space="preserve">Pantum P3010/P3300/M6700/M6800/M7100/M7200/M7300 </w:t>
      </w:r>
      <w:r>
        <w:rPr>
          <w:rStyle w:val="CharStyle3"/>
          <w:i/>
          <w:iCs/>
        </w:rPr>
        <w:t>Цвет: черный: соответствие».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3"/>
          <w:lang w:val="en-US" w:eastAsia="en-US"/>
        </w:rPr>
        <w:t xml:space="preserve">- </w:t>
      </w:r>
      <w:r>
        <w:rPr>
          <w:rStyle w:val="CharStyle3"/>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3"/>
          <w:lang w:val="en-US" w:eastAsia="en-US"/>
        </w:rPr>
        <w:t xml:space="preserve">- </w:t>
      </w:r>
      <w:r>
        <w:rPr>
          <w:rStyle w:val="CharStyle3"/>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3"/>
          <w:lang w:val="en-US" w:eastAsia="en-US"/>
        </w:rPr>
        <w:t xml:space="preserve">- </w:t>
      </w:r>
      <w:r>
        <w:rPr>
          <w:rStyle w:val="CharStyle3"/>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2"/>
        <w:keepNext w:val="0"/>
        <w:keepLines w:val="0"/>
        <w:widowControl w:val="0"/>
        <w:shd w:val="clear" w:color="auto" w:fill="auto"/>
        <w:bidi w:val="0"/>
        <w:spacing w:before="0" w:after="0" w:line="240" w:lineRule="auto"/>
        <w:ind w:left="0" w:right="0" w:firstLine="720"/>
        <w:jc w:val="both"/>
      </w:pPr>
      <w:r>
        <w:rPr>
          <w:rStyle w:val="CharStyle3"/>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2"/>
        <w:keepNext w:val="0"/>
        <w:keepLines w:val="0"/>
        <w:widowControl w:val="0"/>
        <w:shd w:val="clear" w:color="auto" w:fill="auto"/>
        <w:bidi w:val="0"/>
        <w:spacing w:before="0" w:after="0" w:line="240" w:lineRule="auto"/>
        <w:ind w:left="0" w:right="0" w:firstLine="720"/>
        <w:jc w:val="both"/>
      </w:pPr>
      <w:r>
        <w:rPr>
          <w:rStyle w:val="CharStyle3"/>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720"/>
        <w:jc w:val="both"/>
      </w:pPr>
      <w:r>
        <w:rPr>
          <w:rStyle w:val="CharStyle3"/>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720"/>
        <w:jc w:val="both"/>
      </w:pPr>
      <w:r>
        <w:rPr>
          <w:rStyle w:val="CharStyle3"/>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2"/>
        <w:keepNext w:val="0"/>
        <w:keepLines w:val="0"/>
        <w:widowControl w:val="0"/>
        <w:shd w:val="clear" w:color="auto" w:fill="auto"/>
        <w:bidi w:val="0"/>
        <w:spacing w:before="0" w:after="0" w:line="276" w:lineRule="auto"/>
        <w:ind w:left="0" w:right="0" w:firstLine="720"/>
        <w:jc w:val="both"/>
        <w:rPr>
          <w:sz w:val="24"/>
          <w:szCs w:val="24"/>
        </w:rPr>
      </w:pPr>
      <w:r>
        <w:rPr>
          <w:rStyle w:val="CharStyle3"/>
        </w:rPr>
        <w:t xml:space="preserve">П.1 Постановления </w:t>
      </w:r>
      <w:r>
        <w:rPr>
          <w:rStyle w:val="CharStyle3"/>
          <w:lang w:val="en-US" w:eastAsia="en-US"/>
        </w:rPr>
        <w:t xml:space="preserve">№1875 </w:t>
      </w:r>
      <w:r>
        <w:rPr>
          <w:rStyle w:val="CharStyle3"/>
        </w:rPr>
        <w:t xml:space="preserve">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w:t>
      </w:r>
      <w:r>
        <w:rPr>
          <w:rStyle w:val="CharStyle3"/>
          <w:sz w:val="24"/>
          <w:szCs w:val="24"/>
          <w:lang w:val="en-US" w:eastAsia="en-US"/>
        </w:rPr>
        <w:t>2026-12692</w:t>
      </w:r>
    </w:p>
    <w:p>
      <w:pPr>
        <w:pStyle w:val="Style2"/>
        <w:keepNext w:val="0"/>
        <w:keepLines w:val="0"/>
        <w:widowControl w:val="0"/>
        <w:shd w:val="clear" w:color="auto" w:fill="auto"/>
        <w:bidi w:val="0"/>
        <w:spacing w:before="0" w:after="0" w:line="240" w:lineRule="auto"/>
        <w:ind w:left="0" w:right="0" w:firstLine="0"/>
        <w:jc w:val="both"/>
      </w:pPr>
      <w:r>
        <w:rPr>
          <w:rStyle w:val="CharStyle3"/>
        </w:rPr>
        <w:t>юридических лиц»:</w:t>
      </w:r>
    </w:p>
    <w:p>
      <w:pPr>
        <w:pStyle w:val="Style2"/>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3"/>
          <w:lang w:val="en-US" w:eastAsia="en-US"/>
        </w:rPr>
        <w:t xml:space="preserve">- </w:t>
      </w:r>
      <w:r>
        <w:rPr>
          <w:rStyle w:val="CharStyle3"/>
        </w:rPr>
        <w:t xml:space="preserve">иностранные лица), по перечню согласно приложению </w:t>
      </w:r>
      <w:r>
        <w:rPr>
          <w:rStyle w:val="CharStyle3"/>
          <w:lang w:val="en-US" w:eastAsia="en-US"/>
        </w:rPr>
        <w:t xml:space="preserve">№1, </w:t>
      </w:r>
      <w:r>
        <w:rPr>
          <w:rStyle w:val="CharStyle3"/>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3"/>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3"/>
          <w:lang w:val="en-US" w:eastAsia="en-US"/>
        </w:rPr>
        <w:t>№2;</w:t>
      </w:r>
    </w:p>
    <w:p>
      <w:pPr>
        <w:pStyle w:val="Style2"/>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Пп.«б» п.6 Постановления </w:t>
      </w:r>
      <w:r>
        <w:rPr>
          <w:rStyle w:val="CharStyle3"/>
          <w:lang w:val="en-US" w:eastAsia="en-US"/>
        </w:rPr>
        <w:t xml:space="preserve">№1875 </w:t>
      </w:r>
      <w:r>
        <w:rPr>
          <w:rStyle w:val="CharStyle3"/>
        </w:rPr>
        <w:t xml:space="preserve">определено, что ограничение, предусмотренное п.1 Постановления </w:t>
      </w:r>
      <w:r>
        <w:rPr>
          <w:rStyle w:val="CharStyle3"/>
          <w:lang w:val="en-US" w:eastAsia="en-US"/>
        </w:rPr>
        <w:t xml:space="preserve">№1875, </w:t>
      </w:r>
      <w:r>
        <w:rPr>
          <w:rStyle w:val="CharStyle3"/>
        </w:rPr>
        <w:t xml:space="preserve">может не применяться заказчиками при осуществлении закупок товара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Положения пп.«б» п.6 Постановления </w:t>
      </w:r>
      <w:r>
        <w:rPr>
          <w:rStyle w:val="CharStyle3"/>
          <w:lang w:val="en-US" w:eastAsia="en-US"/>
        </w:rPr>
        <w:t xml:space="preserve">№1875 </w:t>
      </w:r>
      <w:r>
        <w:rPr>
          <w:rStyle w:val="CharStyle3"/>
        </w:rPr>
        <w:t xml:space="preserve">не применяются при осуществлении закупок товаров, указанных в приложении </w:t>
      </w:r>
      <w:r>
        <w:rPr>
          <w:rStyle w:val="CharStyle3"/>
          <w:lang w:val="en-US" w:eastAsia="en-US"/>
        </w:rPr>
        <w:t xml:space="preserve">№2 </w:t>
      </w:r>
      <w:r>
        <w:rPr>
          <w:rStyle w:val="CharStyle3"/>
        </w:rPr>
        <w:t>к Постановлению№1875 и являющихся расходными материалами, комплектующими, принадлежностями к медицинским изделиям.</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Комиссией Управления определено, что в разделе применения национального режима по ст.13 Закона о контрактной системе Заказчиком установлены преимущества в отношении товаров российского происхождения Постановления </w:t>
      </w:r>
      <w:r>
        <w:rPr>
          <w:rStyle w:val="CharStyle3"/>
          <w:lang w:val="en-US" w:eastAsia="en-US"/>
        </w:rPr>
        <w:t xml:space="preserve">№1875 </w:t>
      </w:r>
      <w:r>
        <w:rPr>
          <w:rStyle w:val="CharStyle3"/>
        </w:rPr>
        <w:t>на приобретаемые расходные материалы для офисной техники.</w:t>
      </w:r>
    </w:p>
    <w:p>
      <w:pPr>
        <w:pStyle w:val="Style2"/>
        <w:keepNext w:val="0"/>
        <w:keepLines w:val="0"/>
        <w:widowControl w:val="0"/>
        <w:shd w:val="clear" w:color="auto" w:fill="auto"/>
        <w:bidi w:val="0"/>
        <w:spacing w:before="0" w:after="0" w:line="295"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44" w:bottom="600" w:left="1085" w:header="0" w:footer="172" w:gutter="0"/>
          <w:cols w:space="720"/>
          <w:noEndnote/>
          <w:rtlGutter w:val="0"/>
          <w:docGrid w:linePitch="360"/>
        </w:sectPr>
      </w:pPr>
      <w:r>
        <w:rPr>
          <w:rStyle w:val="CharStyle3"/>
        </w:rPr>
        <w:t xml:space="preserve">Согласно ч.1 ст.106 Закона о контрактной системе лица, права и законные интересы которых непосредственно затрагиваются в результате рассмотрения </w:t>
      </w:r>
      <w:r>
        <w:rPr>
          <w:rStyle w:val="CharStyle3"/>
          <w:sz w:val="24"/>
          <w:szCs w:val="24"/>
          <w:lang w:val="en-US" w:eastAsia="en-US"/>
        </w:rPr>
        <w:t>2026-12692</w:t>
      </w:r>
    </w:p>
    <w:p>
      <w:pPr>
        <w:pStyle w:val="Style2"/>
        <w:keepNext w:val="0"/>
        <w:keepLines w:val="0"/>
        <w:widowControl w:val="0"/>
        <w:shd w:val="clear" w:color="auto" w:fill="auto"/>
        <w:bidi w:val="0"/>
        <w:spacing w:before="0" w:after="0" w:line="240" w:lineRule="auto"/>
        <w:ind w:left="0" w:right="0" w:firstLine="0"/>
        <w:jc w:val="both"/>
      </w:pPr>
      <w:r>
        <w:rPr>
          <w:rStyle w:val="CharStyle3"/>
        </w:rPr>
        <w:t>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заседании Комиссии Управления представитель Заказчика пояснил, что Заказчиком осуществлено описание объекта закупки по части товарам, в которых отмечена необходимость поставки оригинальных расходных материалов к печатному оборудованию Заказчика, находящемуся на гарантии поставщика, ввиду чего, для исполнения гарантийных обязательств Заказчику необходимо использовать исключительно оригинальные расходные материалы. Ввиду чего для исполнения гарантийных обязательств Заказчику необходимо использовать исключительно оригинальные расходные материалы, что не противоречит положениям пп. «в» п.1 ч.1 ст.33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В обоснование своей позиции в материалы дела Заказчиком предоставлены следующие документы и сведения, а именно:</w:t>
      </w:r>
    </w:p>
    <w:p>
      <w:pPr>
        <w:pStyle w:val="Style2"/>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3"/>
        </w:rPr>
        <w:t xml:space="preserve">контракт от </w:t>
      </w:r>
      <w:r>
        <w:rPr>
          <w:rStyle w:val="CharStyle3"/>
          <w:lang w:val="en-US" w:eastAsia="en-US"/>
        </w:rPr>
        <w:t xml:space="preserve">07.11.2025 </w:t>
      </w:r>
      <w:r>
        <w:rPr>
          <w:rStyle w:val="CharStyle3"/>
        </w:rPr>
        <w:t xml:space="preserve">№429-ЭА/25 на поставку продукции радиоэлектронной промышленности, судостроительной промышленности, авиационной техники, средств автотранспортных, оборудования для измерения, испытаний и навигации, бумаги, картона, мебели для офисов и предприятий торговли, оборудования электрического осветительного, оборудования промышленного холодильного и вентиляционного (реестровый </w:t>
      </w:r>
      <w:r>
        <w:rPr>
          <w:rStyle w:val="CharStyle3"/>
          <w:lang w:val="en-US" w:eastAsia="en-US"/>
        </w:rPr>
        <w:t xml:space="preserve">№ 1772806585625000391) </w:t>
      </w:r>
      <w:r>
        <w:rPr>
          <w:rStyle w:val="CharStyle3"/>
        </w:rPr>
        <w:t>и накладные к указанному конракту;</w:t>
      </w:r>
    </w:p>
    <w:p>
      <w:pPr>
        <w:pStyle w:val="Style2"/>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3"/>
        </w:rPr>
        <w:t xml:space="preserve">письмо «ООО ПРОГРЕСС» исх№1810 от </w:t>
      </w:r>
      <w:r>
        <w:rPr>
          <w:rStyle w:val="CharStyle3"/>
          <w:lang w:val="en-US" w:eastAsia="en-US"/>
        </w:rPr>
        <w:t xml:space="preserve">07.11.2026 </w:t>
      </w:r>
      <w:r>
        <w:rPr>
          <w:rStyle w:val="CharStyle3"/>
        </w:rPr>
        <w:t xml:space="preserve">на контракт от </w:t>
      </w:r>
      <w:r>
        <w:rPr>
          <w:rStyle w:val="CharStyle3"/>
          <w:lang w:val="en-US" w:eastAsia="en-US"/>
        </w:rPr>
        <w:t xml:space="preserve">07.11.2025 </w:t>
      </w:r>
      <w:r>
        <w:rPr>
          <w:rStyle w:val="CharStyle3"/>
        </w:rPr>
        <w:t>№429-ЭА/25 на гарантию товара;</w:t>
      </w:r>
    </w:p>
    <w:p>
      <w:pPr>
        <w:pStyle w:val="Style2"/>
        <w:keepNext w:val="0"/>
        <w:keepLines w:val="0"/>
        <w:widowControl w:val="0"/>
        <w:numPr>
          <w:ilvl w:val="0"/>
          <w:numId w:val="3"/>
        </w:numPr>
        <w:shd w:val="clear" w:color="auto" w:fill="auto"/>
        <w:tabs>
          <w:tab w:pos="2126" w:val="left"/>
        </w:tabs>
        <w:bidi w:val="0"/>
        <w:spacing w:before="0" w:after="0" w:line="240" w:lineRule="auto"/>
        <w:ind w:left="0" w:right="0" w:firstLine="700"/>
        <w:jc w:val="both"/>
      </w:pPr>
      <w:r>
        <w:rPr>
          <w:rStyle w:val="CharStyle3"/>
        </w:rPr>
        <w:t xml:space="preserve">акт приемки от </w:t>
      </w:r>
      <w:r>
        <w:rPr>
          <w:rStyle w:val="CharStyle3"/>
          <w:lang w:val="en-US" w:eastAsia="en-US"/>
        </w:rPr>
        <w:t xml:space="preserve">22.12.2025 №47 </w:t>
      </w:r>
      <w:r>
        <w:rPr>
          <w:rStyle w:val="CharStyle3"/>
        </w:rPr>
        <w:t xml:space="preserve">на принтер лазерный </w:t>
      </w:r>
      <w:r>
        <w:rPr>
          <w:rStyle w:val="CharStyle3"/>
          <w:lang w:val="en-US" w:eastAsia="en-US"/>
        </w:rPr>
        <w:t>Kyocera;</w:t>
      </w:r>
    </w:p>
    <w:p>
      <w:pPr>
        <w:pStyle w:val="Style2"/>
        <w:keepNext w:val="0"/>
        <w:keepLines w:val="0"/>
        <w:widowControl w:val="0"/>
        <w:numPr>
          <w:ilvl w:val="0"/>
          <w:numId w:val="3"/>
        </w:numPr>
        <w:shd w:val="clear" w:color="auto" w:fill="auto"/>
        <w:tabs>
          <w:tab w:pos="2126" w:val="left"/>
        </w:tabs>
        <w:bidi w:val="0"/>
        <w:spacing w:before="0" w:after="0" w:line="240" w:lineRule="auto"/>
        <w:ind w:left="0" w:right="0" w:firstLine="700"/>
        <w:jc w:val="both"/>
      </w:pPr>
      <w:r>
        <w:rPr>
          <w:rStyle w:val="CharStyle3"/>
        </w:rPr>
        <w:t xml:space="preserve">гарантийное письмо от </w:t>
      </w:r>
      <w:r>
        <w:rPr>
          <w:rStyle w:val="CharStyle3"/>
          <w:lang w:val="en-US" w:eastAsia="en-US"/>
        </w:rPr>
        <w:t xml:space="preserve">15.12.2025 </w:t>
      </w:r>
      <w:r>
        <w:rPr>
          <w:rStyle w:val="CharStyle3"/>
        </w:rPr>
        <w:t xml:space="preserve">к акту приемки от </w:t>
      </w:r>
      <w:r>
        <w:rPr>
          <w:rStyle w:val="CharStyle3"/>
          <w:lang w:val="en-US" w:eastAsia="en-US"/>
        </w:rPr>
        <w:t>22.12.2025 №47;</w:t>
      </w:r>
    </w:p>
    <w:p>
      <w:pPr>
        <w:pStyle w:val="Style2"/>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3"/>
        </w:rPr>
        <w:t xml:space="preserve">письмо ООО «Канон Ру», входящее в группу компаний </w:t>
      </w:r>
      <w:r>
        <w:rPr>
          <w:rStyle w:val="CharStyle3"/>
          <w:lang w:val="en-US" w:eastAsia="en-US"/>
        </w:rPr>
        <w:t xml:space="preserve">Сanon, </w:t>
      </w:r>
      <w:r>
        <w:rPr>
          <w:rStyle w:val="CharStyle3"/>
        </w:rPr>
        <w:t xml:space="preserve">от </w:t>
      </w:r>
      <w:r>
        <w:rPr>
          <w:rStyle w:val="CharStyle3"/>
          <w:lang w:val="en-US" w:eastAsia="en-US"/>
        </w:rPr>
        <w:t xml:space="preserve">27.06.2026 </w:t>
      </w:r>
      <w:r>
        <w:rPr>
          <w:rStyle w:val="CharStyle3"/>
        </w:rPr>
        <w:t xml:space="preserve">исх.№1606271602 о недопустимости использования неоригинальных расходных материалов в печатной технике </w:t>
      </w:r>
      <w:r>
        <w:rPr>
          <w:rStyle w:val="CharStyle3"/>
          <w:lang w:val="en-US" w:eastAsia="en-US"/>
        </w:rPr>
        <w:t>Сanon;</w:t>
      </w:r>
    </w:p>
    <w:p>
      <w:pPr>
        <w:pStyle w:val="Style2"/>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3"/>
        </w:rPr>
        <w:t xml:space="preserve">письмо </w:t>
      </w:r>
      <w:r>
        <w:rPr>
          <w:rStyle w:val="CharStyle3"/>
          <w:lang w:val="en-US" w:eastAsia="en-US"/>
        </w:rPr>
        <w:t xml:space="preserve">HP Europe B.V. Amsterdam, Meyrin Branch </w:t>
      </w:r>
      <w:r>
        <w:rPr>
          <w:rStyle w:val="CharStyle3"/>
        </w:rPr>
        <w:t xml:space="preserve">от </w:t>
      </w:r>
      <w:r>
        <w:rPr>
          <w:rStyle w:val="CharStyle3"/>
          <w:lang w:val="en-US" w:eastAsia="en-US"/>
        </w:rPr>
        <w:t xml:space="preserve">12.03.2019 </w:t>
      </w:r>
      <w:r>
        <w:rPr>
          <w:rStyle w:val="CharStyle3"/>
        </w:rPr>
        <w:t xml:space="preserve">исх.№ </w:t>
      </w:r>
      <w:r>
        <w:rPr>
          <w:rStyle w:val="CharStyle3"/>
          <w:lang w:val="en-US" w:eastAsia="en-US"/>
        </w:rPr>
        <w:t xml:space="preserve">INF/185/2019, </w:t>
      </w:r>
      <w:r>
        <w:rPr>
          <w:rStyle w:val="CharStyle3"/>
        </w:rPr>
        <w:t xml:space="preserve">подтверждающее отсутствие эквивалентности оригинальных картриджей </w:t>
      </w:r>
      <w:r>
        <w:rPr>
          <w:rStyle w:val="CharStyle3"/>
          <w:lang w:val="en-US" w:eastAsia="en-US"/>
        </w:rPr>
        <w:t xml:space="preserve">HP </w:t>
      </w:r>
      <w:r>
        <w:rPr>
          <w:rStyle w:val="CharStyle3"/>
        </w:rPr>
        <w:t xml:space="preserve">и </w:t>
      </w:r>
      <w:r>
        <w:rPr>
          <w:rStyle w:val="CharStyle3"/>
          <w:lang w:val="en-US" w:eastAsia="en-US"/>
        </w:rPr>
        <w:t xml:space="preserve">Samsung </w:t>
      </w:r>
      <w:r>
        <w:rPr>
          <w:rStyle w:val="CharStyle3"/>
        </w:rPr>
        <w:t>с перечнем картриджей;</w:t>
      </w:r>
    </w:p>
    <w:p>
      <w:pPr>
        <w:pStyle w:val="Style2"/>
        <w:keepNext w:val="0"/>
        <w:keepLines w:val="0"/>
        <w:widowControl w:val="0"/>
        <w:numPr>
          <w:ilvl w:val="0"/>
          <w:numId w:val="3"/>
        </w:numPr>
        <w:shd w:val="clear" w:color="auto" w:fill="auto"/>
        <w:tabs>
          <w:tab w:pos="2126" w:val="left"/>
        </w:tabs>
        <w:bidi w:val="0"/>
        <w:spacing w:before="0" w:after="0" w:line="240" w:lineRule="auto"/>
        <w:ind w:left="0" w:right="0" w:firstLine="700"/>
        <w:jc w:val="both"/>
      </w:pPr>
      <w:r>
        <w:rPr>
          <w:rStyle w:val="CharStyle3"/>
        </w:rPr>
        <w:t xml:space="preserve">брошюра </w:t>
      </w:r>
      <w:r>
        <w:rPr>
          <w:rStyle w:val="CharStyle3"/>
          <w:lang w:val="en-US" w:eastAsia="en-US"/>
        </w:rPr>
        <w:t xml:space="preserve">HP </w:t>
      </w:r>
      <w:r>
        <w:rPr>
          <w:rStyle w:val="CharStyle3"/>
        </w:rPr>
        <w:t xml:space="preserve">«Почему лучше всего покупать расходные материалы </w:t>
      </w:r>
      <w:r>
        <w:rPr>
          <w:rStyle w:val="CharStyle3"/>
          <w:lang w:val="en-US" w:eastAsia="en-US"/>
        </w:rPr>
        <w:t>HP ?»;</w:t>
      </w:r>
    </w:p>
    <w:p>
      <w:pPr>
        <w:pStyle w:val="Style2"/>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3"/>
        </w:rPr>
        <w:t xml:space="preserve">письмо ООО «АБИУС» о том, что использование неоригинальных расходных материалов в офисной технике марки </w:t>
      </w:r>
      <w:r>
        <w:rPr>
          <w:rStyle w:val="CharStyle3"/>
          <w:lang w:val="en-US" w:eastAsia="en-US"/>
        </w:rPr>
        <w:t xml:space="preserve">Kyocera </w:t>
      </w:r>
      <w:r>
        <w:rPr>
          <w:rStyle w:val="CharStyle3"/>
        </w:rPr>
        <w:t>может повлечь за собой сбои в работе оборудования или выход печатающего устройства из строя;</w:t>
      </w:r>
    </w:p>
    <w:p>
      <w:pPr>
        <w:pStyle w:val="Style2"/>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3"/>
        </w:rPr>
        <w:t xml:space="preserve">информационное письмо </w:t>
      </w:r>
      <w:r>
        <w:rPr>
          <w:rStyle w:val="CharStyle3"/>
          <w:lang w:val="en-US" w:eastAsia="en-US"/>
        </w:rPr>
        <w:t xml:space="preserve">Pantum International Limited </w:t>
      </w:r>
      <w:r>
        <w:rPr>
          <w:rStyle w:val="CharStyle3"/>
        </w:rPr>
        <w:t xml:space="preserve">от </w:t>
      </w:r>
      <w:r>
        <w:rPr>
          <w:rStyle w:val="CharStyle3"/>
          <w:lang w:val="en-US" w:eastAsia="en-US"/>
        </w:rPr>
        <w:t xml:space="preserve">14.07.2025 </w:t>
      </w:r>
      <w:r>
        <w:rPr>
          <w:rStyle w:val="CharStyle3"/>
        </w:rPr>
        <w:t xml:space="preserve">исх.№538, указывающее на то, что «использование расходных материалов и запчастей, произведенных не под торговой маркой </w:t>
      </w:r>
      <w:r>
        <w:rPr>
          <w:rStyle w:val="CharStyle3"/>
          <w:lang w:val="en-US" w:eastAsia="en-US"/>
        </w:rPr>
        <w:t xml:space="preserve">Pantum, </w:t>
      </w:r>
      <w:r>
        <w:rPr>
          <w:rStyle w:val="CharStyle3"/>
        </w:rPr>
        <w:t xml:space="preserve">не обеспечивает функциональную совместимость с устройствами </w:t>
      </w:r>
      <w:r>
        <w:rPr>
          <w:rStyle w:val="CharStyle3"/>
          <w:lang w:val="en-US" w:eastAsia="en-US"/>
        </w:rPr>
        <w:t xml:space="preserve">Pantum </w:t>
      </w:r>
      <w:r>
        <w:rPr>
          <w:rStyle w:val="CharStyle3"/>
        </w:rPr>
        <w:t>и нарушает условия гарантийного оборудования»;</w:t>
      </w:r>
    </w:p>
    <w:p>
      <w:pPr>
        <w:pStyle w:val="Style2"/>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3"/>
        </w:rPr>
        <w:t xml:space="preserve">информационное письмо ООО «РИКО Рус», являющегося единственным официальным импортером на рынке России, от </w:t>
      </w:r>
      <w:r>
        <w:rPr>
          <w:rStyle w:val="CharStyle3"/>
          <w:lang w:val="en-US" w:eastAsia="en-US"/>
        </w:rPr>
        <w:t xml:space="preserve">17.04.2019 </w:t>
      </w:r>
      <w:r>
        <w:rPr>
          <w:rStyle w:val="CharStyle3"/>
        </w:rPr>
        <w:t xml:space="preserve">исх.№25448, указывающее, что «ООО «РИКО Рус» не подтверждает эквивалентность расходных материалов (картриджей, тонеров девелоперов и т.д.) других производителей оригинальным расходным материалам под товарным знаком </w:t>
      </w:r>
      <w:r>
        <w:rPr>
          <w:rStyle w:val="CharStyle3"/>
          <w:lang w:val="en-US" w:eastAsia="en-US"/>
        </w:rPr>
        <w:t>RICOH»;</w:t>
      </w:r>
    </w:p>
    <w:p>
      <w:pPr>
        <w:pStyle w:val="Style2"/>
        <w:keepNext w:val="0"/>
        <w:keepLines w:val="0"/>
        <w:widowControl w:val="0"/>
        <w:numPr>
          <w:ilvl w:val="0"/>
          <w:numId w:val="3"/>
        </w:numPr>
        <w:shd w:val="clear" w:color="auto" w:fill="auto"/>
        <w:tabs>
          <w:tab w:pos="2126" w:val="left"/>
        </w:tabs>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36" w:bottom="1114" w:left="1106" w:header="0" w:footer="3" w:gutter="0"/>
          <w:cols w:space="720"/>
          <w:noEndnote/>
          <w:rtlGutter w:val="0"/>
          <w:docGrid w:linePitch="360"/>
        </w:sectPr>
      </w:pPr>
      <w:r>
        <w:rPr>
          <w:rStyle w:val="CharStyle3"/>
        </w:rPr>
        <w:t xml:space="preserve">письмо ООО «Ксерокс» от </w:t>
      </w:r>
      <w:r>
        <w:rPr>
          <w:rStyle w:val="CharStyle3"/>
          <w:lang w:val="en-US" w:eastAsia="en-US"/>
        </w:rPr>
        <w:t xml:space="preserve">17.04.2019 </w:t>
      </w:r>
      <w:r>
        <w:rPr>
          <w:rStyle w:val="CharStyle3"/>
        </w:rPr>
        <w:t>исх.№26 «Об использовании</w:t>
      </w:r>
    </w:p>
    <w:p>
      <w:pPr>
        <w:pStyle w:val="Style2"/>
        <w:keepNext w:val="0"/>
        <w:keepLines w:val="0"/>
        <w:widowControl w:val="0"/>
        <w:shd w:val="clear" w:color="auto" w:fill="auto"/>
        <w:bidi w:val="0"/>
        <w:spacing w:before="0" w:after="0" w:line="240" w:lineRule="auto"/>
        <w:ind w:left="0" w:right="0" w:firstLine="0"/>
        <w:jc w:val="both"/>
      </w:pPr>
      <w:r>
        <w:rPr>
          <w:rStyle w:val="CharStyle3"/>
        </w:rPr>
        <w:t>совместимых расходных материалов»;</w:t>
      </w:r>
    </w:p>
    <w:p>
      <w:pPr>
        <w:pStyle w:val="Style2"/>
        <w:keepNext w:val="0"/>
        <w:keepLines w:val="0"/>
        <w:widowControl w:val="0"/>
        <w:numPr>
          <w:ilvl w:val="0"/>
          <w:numId w:val="3"/>
        </w:numPr>
        <w:shd w:val="clear" w:color="auto" w:fill="auto"/>
        <w:tabs>
          <w:tab w:pos="1393" w:val="left"/>
        </w:tabs>
        <w:bidi w:val="0"/>
        <w:spacing w:before="0" w:after="0" w:line="240" w:lineRule="auto"/>
        <w:ind w:left="0" w:right="0" w:firstLine="700"/>
        <w:jc w:val="both"/>
      </w:pPr>
      <w:r>
        <w:rPr>
          <w:rStyle w:val="CharStyle3"/>
        </w:rPr>
        <w:t xml:space="preserve">письмо ООО «Ксерокс», являющегося представителем производителя печатной техники компании </w:t>
      </w:r>
      <w:r>
        <w:rPr>
          <w:rStyle w:val="CharStyle3"/>
          <w:lang w:val="en-US" w:eastAsia="en-US"/>
        </w:rPr>
        <w:t xml:space="preserve">Xerox </w:t>
      </w:r>
      <w:r>
        <w:rPr>
          <w:rStyle w:val="CharStyle3"/>
        </w:rPr>
        <w:t xml:space="preserve">в России, от </w:t>
      </w:r>
      <w:r>
        <w:rPr>
          <w:rStyle w:val="CharStyle3"/>
          <w:lang w:val="en-US" w:eastAsia="en-US"/>
        </w:rPr>
        <w:t xml:space="preserve">05.03.2022 </w:t>
      </w:r>
      <w:r>
        <w:rPr>
          <w:rStyle w:val="CharStyle3"/>
        </w:rPr>
        <w:t xml:space="preserve">исх.№2022-053 «Об использовании оригинальных расходных материалов при эксплуатации печатной техники, произведенной компанией </w:t>
      </w:r>
      <w:r>
        <w:rPr>
          <w:rStyle w:val="CharStyle3"/>
          <w:lang w:val="en-US" w:eastAsia="en-US"/>
        </w:rPr>
        <w:t>Xerox»;</w:t>
      </w:r>
    </w:p>
    <w:p>
      <w:pPr>
        <w:pStyle w:val="Style2"/>
        <w:keepNext w:val="0"/>
        <w:keepLines w:val="0"/>
        <w:widowControl w:val="0"/>
        <w:numPr>
          <w:ilvl w:val="0"/>
          <w:numId w:val="3"/>
        </w:numPr>
        <w:shd w:val="clear" w:color="auto" w:fill="auto"/>
        <w:tabs>
          <w:tab w:pos="1393" w:val="left"/>
        </w:tabs>
        <w:bidi w:val="0"/>
        <w:spacing w:before="0" w:after="0" w:line="240" w:lineRule="auto"/>
        <w:ind w:left="0" w:right="0" w:firstLine="700"/>
        <w:jc w:val="both"/>
      </w:pPr>
      <w:r>
        <w:rPr>
          <w:rStyle w:val="CharStyle3"/>
        </w:rPr>
        <w:t xml:space="preserve">руководства пользователя на печатной оборудование </w:t>
      </w:r>
      <w:r>
        <w:rPr>
          <w:rStyle w:val="CharStyle3"/>
          <w:lang w:val="en-US" w:eastAsia="en-US"/>
        </w:rPr>
        <w:t>Сanon, HP, Kyocera, Pantum, RICOH, Xerox.</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Изучив представленный контракт от </w:t>
      </w:r>
      <w:r>
        <w:rPr>
          <w:rStyle w:val="CharStyle3"/>
          <w:lang w:val="en-US" w:eastAsia="en-US"/>
        </w:rPr>
        <w:t xml:space="preserve">07.11.2025 </w:t>
      </w:r>
      <w:r>
        <w:rPr>
          <w:rStyle w:val="CharStyle3"/>
        </w:rPr>
        <w:t>№429-ЭА/25, Комиссия Управления установлено в том числе следующее:</w:t>
      </w:r>
    </w:p>
    <w:p>
      <w:pPr>
        <w:pStyle w:val="Style2"/>
        <w:keepNext w:val="0"/>
        <w:keepLines w:val="0"/>
        <w:widowControl w:val="0"/>
        <w:numPr>
          <w:ilvl w:val="0"/>
          <w:numId w:val="3"/>
        </w:numPr>
        <w:shd w:val="clear" w:color="auto" w:fill="auto"/>
        <w:tabs>
          <w:tab w:pos="1393" w:val="left"/>
        </w:tabs>
        <w:bidi w:val="0"/>
        <w:spacing w:before="0" w:after="0" w:line="240" w:lineRule="auto"/>
        <w:ind w:left="0" w:right="0" w:firstLine="700"/>
        <w:jc w:val="both"/>
      </w:pPr>
      <w:r>
        <w:rPr>
          <w:rStyle w:val="CharStyle3"/>
          <w:i/>
          <w:iCs/>
          <w:lang w:val="en-US" w:eastAsia="en-US"/>
        </w:rPr>
        <w:t xml:space="preserve">3.3. </w:t>
      </w:r>
      <w:r>
        <w:rPr>
          <w:rStyle w:val="CharStyle3"/>
          <w:i/>
          <w:iCs/>
        </w:rPr>
        <w:t>При поставке Товара должны быть предоставлены следующие документы:</w:t>
      </w:r>
    </w:p>
    <w:p>
      <w:pPr>
        <w:pStyle w:val="Style2"/>
        <w:keepNext w:val="0"/>
        <w:keepLines w:val="0"/>
        <w:widowControl w:val="0"/>
        <w:numPr>
          <w:ilvl w:val="0"/>
          <w:numId w:val="5"/>
        </w:numPr>
        <w:shd w:val="clear" w:color="auto" w:fill="auto"/>
        <w:tabs>
          <w:tab w:pos="1130" w:val="left"/>
        </w:tabs>
        <w:bidi w:val="0"/>
        <w:spacing w:before="0" w:after="0" w:line="240" w:lineRule="auto"/>
        <w:ind w:left="0" w:right="0" w:firstLine="700"/>
        <w:jc w:val="both"/>
      </w:pPr>
      <w:r>
        <w:rPr>
          <w:rStyle w:val="CharStyle3"/>
          <w:i/>
          <w:iCs/>
        </w:rPr>
        <w:t>счет;</w:t>
      </w:r>
    </w:p>
    <w:p>
      <w:pPr>
        <w:pStyle w:val="Style2"/>
        <w:keepNext w:val="0"/>
        <w:keepLines w:val="0"/>
        <w:widowControl w:val="0"/>
        <w:numPr>
          <w:ilvl w:val="0"/>
          <w:numId w:val="5"/>
        </w:numPr>
        <w:shd w:val="clear" w:color="auto" w:fill="auto"/>
        <w:tabs>
          <w:tab w:pos="1130" w:val="left"/>
        </w:tabs>
        <w:bidi w:val="0"/>
        <w:spacing w:before="0" w:after="0" w:line="240" w:lineRule="auto"/>
        <w:ind w:left="0" w:right="0" w:firstLine="700"/>
        <w:jc w:val="both"/>
      </w:pPr>
      <w:r>
        <w:rPr>
          <w:rStyle w:val="CharStyle3"/>
          <w:i/>
          <w:iCs/>
        </w:rPr>
        <w:t>акт приема-передачи Товара;</w:t>
      </w:r>
    </w:p>
    <w:p>
      <w:pPr>
        <w:pStyle w:val="Style2"/>
        <w:keepNext w:val="0"/>
        <w:keepLines w:val="0"/>
        <w:widowControl w:val="0"/>
        <w:numPr>
          <w:ilvl w:val="0"/>
          <w:numId w:val="5"/>
        </w:numPr>
        <w:shd w:val="clear" w:color="auto" w:fill="auto"/>
        <w:tabs>
          <w:tab w:pos="1111" w:val="left"/>
        </w:tabs>
        <w:bidi w:val="0"/>
        <w:spacing w:before="0" w:after="0" w:line="240" w:lineRule="auto"/>
        <w:ind w:left="0" w:right="0" w:firstLine="700"/>
        <w:jc w:val="both"/>
      </w:pPr>
      <w:r>
        <w:rPr>
          <w:rStyle w:val="CharStyle3"/>
          <w:i/>
          <w:iCs/>
        </w:rPr>
        <w:t>гарантийный талон Поставщика или Производителя;</w:t>
      </w:r>
    </w:p>
    <w:p>
      <w:pPr>
        <w:pStyle w:val="Style2"/>
        <w:keepNext w:val="0"/>
        <w:keepLines w:val="0"/>
        <w:widowControl w:val="0"/>
        <w:numPr>
          <w:ilvl w:val="0"/>
          <w:numId w:val="5"/>
        </w:numPr>
        <w:shd w:val="clear" w:color="auto" w:fill="auto"/>
        <w:tabs>
          <w:tab w:pos="1106" w:val="left"/>
        </w:tabs>
        <w:bidi w:val="0"/>
        <w:spacing w:before="0" w:after="0" w:line="240" w:lineRule="auto"/>
        <w:ind w:left="0" w:right="0" w:firstLine="700"/>
        <w:jc w:val="both"/>
      </w:pPr>
      <w:r>
        <w:rPr>
          <w:rStyle w:val="CharStyle3"/>
          <w:i/>
          <w:iCs/>
        </w:rPr>
        <w:t>сертификат соответствия (при наличии);</w:t>
      </w:r>
    </w:p>
    <w:p>
      <w:pPr>
        <w:pStyle w:val="Style2"/>
        <w:keepNext w:val="0"/>
        <w:keepLines w:val="0"/>
        <w:widowControl w:val="0"/>
        <w:numPr>
          <w:ilvl w:val="0"/>
          <w:numId w:val="5"/>
        </w:numPr>
        <w:shd w:val="clear" w:color="auto" w:fill="auto"/>
        <w:tabs>
          <w:tab w:pos="1130" w:val="left"/>
        </w:tabs>
        <w:bidi w:val="0"/>
        <w:spacing w:before="0" w:after="0" w:line="240" w:lineRule="auto"/>
        <w:ind w:left="0" w:right="0" w:firstLine="700"/>
        <w:jc w:val="both"/>
      </w:pPr>
      <w:r>
        <w:rPr>
          <w:rStyle w:val="CharStyle3"/>
          <w:i/>
          <w:iCs/>
        </w:rPr>
        <w:t>руководство по эксплуатации, руководство пользователя (на русском языке).</w:t>
      </w:r>
    </w:p>
    <w:p>
      <w:pPr>
        <w:pStyle w:val="Style2"/>
        <w:keepNext w:val="0"/>
        <w:keepLines w:val="0"/>
        <w:widowControl w:val="0"/>
        <w:numPr>
          <w:ilvl w:val="1"/>
          <w:numId w:val="7"/>
        </w:numPr>
        <w:shd w:val="clear" w:color="auto" w:fill="auto"/>
        <w:tabs>
          <w:tab w:pos="1393" w:val="left"/>
        </w:tabs>
        <w:bidi w:val="0"/>
        <w:spacing w:before="0" w:after="0" w:line="240" w:lineRule="auto"/>
        <w:ind w:left="0" w:right="0" w:firstLine="700"/>
        <w:jc w:val="both"/>
      </w:pPr>
      <w:r>
        <w:rPr>
          <w:rStyle w:val="CharStyle3"/>
          <w:i/>
          <w:iCs/>
        </w:rPr>
        <w:t>Гарантии качества предоставляются в полном объеме на весь поставляемый Товар.</w:t>
      </w:r>
    </w:p>
    <w:p>
      <w:pPr>
        <w:pStyle w:val="Style2"/>
        <w:keepNext w:val="0"/>
        <w:keepLines w:val="0"/>
        <w:widowControl w:val="0"/>
        <w:numPr>
          <w:ilvl w:val="1"/>
          <w:numId w:val="7"/>
        </w:numPr>
        <w:shd w:val="clear" w:color="auto" w:fill="auto"/>
        <w:tabs>
          <w:tab w:pos="1393" w:val="left"/>
        </w:tabs>
        <w:bidi w:val="0"/>
        <w:spacing w:before="0" w:after="0" w:line="240" w:lineRule="auto"/>
        <w:ind w:left="0" w:right="0" w:firstLine="700"/>
        <w:jc w:val="both"/>
      </w:pPr>
      <w:r>
        <w:rPr>
          <w:rStyle w:val="CharStyle3"/>
          <w:i/>
          <w:iCs/>
        </w:rPr>
        <w:t xml:space="preserve">Срок и объем гарантии на товар должны быть не менее срока и объема гарантии фирмы </w:t>
      </w:r>
      <w:r>
        <w:rPr>
          <w:rStyle w:val="CharStyle3"/>
          <w:i/>
          <w:iCs/>
          <w:lang w:val="en-US" w:eastAsia="en-US"/>
        </w:rPr>
        <w:t xml:space="preserve">– </w:t>
      </w:r>
      <w:r>
        <w:rPr>
          <w:rStyle w:val="CharStyle3"/>
          <w:i/>
          <w:iCs/>
        </w:rPr>
        <w:t xml:space="preserve">изготовителя и составлять не менее </w:t>
      </w:r>
      <w:r>
        <w:rPr>
          <w:rStyle w:val="CharStyle3"/>
          <w:i/>
          <w:iCs/>
          <w:lang w:val="en-US" w:eastAsia="en-US"/>
        </w:rPr>
        <w:t xml:space="preserve">24 </w:t>
      </w:r>
      <w:r>
        <w:rPr>
          <w:rStyle w:val="CharStyle3"/>
          <w:i/>
          <w:iCs/>
        </w:rPr>
        <w:t>месяцев с момента ввода в эксплуатацию.</w:t>
      </w:r>
    </w:p>
    <w:p>
      <w:pPr>
        <w:pStyle w:val="Style2"/>
        <w:keepNext w:val="0"/>
        <w:keepLines w:val="0"/>
        <w:widowControl w:val="0"/>
        <w:shd w:val="clear" w:color="auto" w:fill="auto"/>
        <w:bidi w:val="0"/>
        <w:spacing w:before="0" w:after="0" w:line="240" w:lineRule="auto"/>
        <w:ind w:left="0" w:right="0" w:firstLine="700"/>
        <w:jc w:val="both"/>
      </w:pPr>
      <w:r>
        <w:rPr>
          <w:rStyle w:val="CharStyle3"/>
          <w:i/>
          <w:iCs/>
          <w:lang w:val="en-US" w:eastAsia="en-US"/>
        </w:rPr>
        <w:t xml:space="preserve">8.1. </w:t>
      </w:r>
      <w:r>
        <w:rPr>
          <w:rStyle w:val="CharStyle3"/>
          <w:i/>
          <w:iCs/>
        </w:rPr>
        <w:t xml:space="preserve">Обеспечение гарантийных обязательств предоставляется Поставщиком в срок не менее </w:t>
      </w:r>
      <w:r>
        <w:rPr>
          <w:rStyle w:val="CharStyle3"/>
          <w:i/>
          <w:iCs/>
          <w:lang w:val="en-US" w:eastAsia="en-US"/>
        </w:rPr>
        <w:t xml:space="preserve">24 </w:t>
      </w:r>
      <w:r>
        <w:rPr>
          <w:rStyle w:val="CharStyle3"/>
          <w:i/>
          <w:iCs/>
        </w:rPr>
        <w:t>месяца»</w:t>
      </w:r>
      <w:r>
        <w:rPr>
          <w:rStyle w:val="CharStyle3"/>
        </w:rPr>
        <w:t>.</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Письмом ООО «ПРОГРЕСС» исх№1810 от </w:t>
      </w:r>
      <w:r>
        <w:rPr>
          <w:rStyle w:val="CharStyle3"/>
          <w:lang w:val="en-US" w:eastAsia="en-US"/>
        </w:rPr>
        <w:t xml:space="preserve">07.11.2026 </w:t>
      </w:r>
      <w:r>
        <w:rPr>
          <w:rStyle w:val="CharStyle3"/>
        </w:rPr>
        <w:t xml:space="preserve">на контракт от </w:t>
      </w:r>
      <w:r>
        <w:rPr>
          <w:rStyle w:val="CharStyle3"/>
          <w:lang w:val="en-US" w:eastAsia="en-US"/>
        </w:rPr>
        <w:t xml:space="preserve">07.11.2025 </w:t>
      </w:r>
      <w:r>
        <w:rPr>
          <w:rStyle w:val="CharStyle3"/>
        </w:rPr>
        <w:t xml:space="preserve">№429-ЭА/25 в том числе предусмотрено следующее: «Срок и объем гарантии на товар составляет </w:t>
      </w:r>
      <w:r>
        <w:rPr>
          <w:rStyle w:val="CharStyle3"/>
          <w:lang w:val="en-US" w:eastAsia="en-US"/>
        </w:rPr>
        <w:t xml:space="preserve">24 </w:t>
      </w:r>
      <w:r>
        <w:rPr>
          <w:rStyle w:val="CharStyle3"/>
        </w:rPr>
        <w:t xml:space="preserve">месяца с момента ввода в эксплуатацию, при использовании по прямому назначению, своевременному техническому обслуживанию, использованию оригинальных расходных материалов и запасных частей в соответствии с технической документацией на оборудование. Гарантийные обязательства не распространяются на недостатки товара, вызванные: несоблюдением прилагаемой к товару инструкции по эксплуатации, а также небрежным обращением; </w:t>
      </w:r>
      <w:r>
        <w:rPr>
          <w:rStyle w:val="CharStyle3"/>
          <w:lang w:val="en-US" w:eastAsia="en-US"/>
        </w:rPr>
        <w:t xml:space="preserve">… </w:t>
      </w:r>
      <w:r>
        <w:rPr>
          <w:rStyle w:val="CharStyle3"/>
        </w:rPr>
        <w:t xml:space="preserve">на недостатки товара, возникшие вследствие нарушения правил транспортировки и хранения, а также ненадлежащей эксплуатации, в том числе эксплуатации товара с использованием неоригинальных или совместимых расходных материалов, запасных частей и </w:t>
      </w:r>
      <w:r>
        <w:rPr>
          <w:rStyle w:val="CharStyle3"/>
          <w:lang w:val="en-US" w:eastAsia="en-US"/>
        </w:rPr>
        <w:t xml:space="preserve">деталей… </w:t>
      </w:r>
      <w:r>
        <w:rPr>
          <w:rStyle w:val="CharStyle3"/>
        </w:rPr>
        <w:t xml:space="preserve">Перечень гарантийного оборудования: Многофункциональное устройство (МФУ) Товарный знак: </w:t>
      </w:r>
      <w:r>
        <w:rPr>
          <w:rStyle w:val="CharStyle3"/>
          <w:lang w:val="en-US" w:eastAsia="en-US"/>
        </w:rPr>
        <w:t xml:space="preserve">Pantum (Pantum BM5100FDN), </w:t>
      </w:r>
      <w:r>
        <w:rPr>
          <w:rStyle w:val="CharStyle3"/>
        </w:rPr>
        <w:t xml:space="preserve">Принтер Товарный знак: </w:t>
      </w:r>
      <w:r>
        <w:rPr>
          <w:rStyle w:val="CharStyle3"/>
          <w:lang w:val="en-US" w:eastAsia="en-US"/>
        </w:rPr>
        <w:t xml:space="preserve">Kyocera (Kyocera Ecosys PA6000x), </w:t>
      </w:r>
      <w:r>
        <w:rPr>
          <w:rStyle w:val="CharStyle3"/>
        </w:rPr>
        <w:t xml:space="preserve">Многофункциональное устройство (МФУ) Товарный знак: </w:t>
      </w:r>
      <w:r>
        <w:rPr>
          <w:rStyle w:val="CharStyle3"/>
          <w:lang w:val="en-US" w:eastAsia="en-US"/>
        </w:rPr>
        <w:t>HP (HP Color LaserJet Pro MFP M479fdn)».</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Аналогично указано на наличие гарантии поставщика в течение </w:t>
      </w:r>
      <w:r>
        <w:rPr>
          <w:rStyle w:val="CharStyle3"/>
          <w:lang w:val="en-US" w:eastAsia="en-US"/>
        </w:rPr>
        <w:t xml:space="preserve">12 </w:t>
      </w:r>
      <w:r>
        <w:rPr>
          <w:rStyle w:val="CharStyle3"/>
        </w:rPr>
        <w:t xml:space="preserve">месяцев с момента поставки на принтер лазерный </w:t>
      </w:r>
      <w:r>
        <w:rPr>
          <w:rStyle w:val="CharStyle3"/>
          <w:lang w:val="en-US" w:eastAsia="en-US"/>
        </w:rPr>
        <w:t xml:space="preserve">Kyocera Ecosys P5026 cdn (1102RC3NL0) A4 Duplex Net </w:t>
      </w:r>
      <w:r>
        <w:rPr>
          <w:rStyle w:val="CharStyle3"/>
        </w:rPr>
        <w:t xml:space="preserve">белый» в письме от </w:t>
      </w:r>
      <w:r>
        <w:rPr>
          <w:rStyle w:val="CharStyle3"/>
          <w:lang w:val="en-US" w:eastAsia="en-US"/>
        </w:rPr>
        <w:t xml:space="preserve">15.12.2025 </w:t>
      </w:r>
      <w:r>
        <w:rPr>
          <w:rStyle w:val="CharStyle3"/>
        </w:rPr>
        <w:t xml:space="preserve">к акту приемки от </w:t>
      </w:r>
      <w:r>
        <w:rPr>
          <w:rStyle w:val="CharStyle3"/>
          <w:lang w:val="en-US" w:eastAsia="en-US"/>
        </w:rPr>
        <w:t>22.12.2025 №47.</w:t>
      </w:r>
    </w:p>
    <w:p>
      <w:pPr>
        <w:pStyle w:val="Style2"/>
        <w:keepNext w:val="0"/>
        <w:keepLines w:val="0"/>
        <w:widowControl w:val="0"/>
        <w:shd w:val="clear" w:color="auto" w:fill="auto"/>
        <w:bidi w:val="0"/>
        <w:spacing w:before="0" w:after="0" w:line="276"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41" w:bottom="677" w:left="1101" w:header="0" w:footer="249" w:gutter="0"/>
          <w:cols w:space="720"/>
          <w:noEndnote/>
          <w:rtlGutter w:val="0"/>
          <w:docGrid w:linePitch="360"/>
        </w:sectPr>
      </w:pPr>
      <w:r>
        <w:rPr>
          <w:rStyle w:val="CharStyle3"/>
        </w:rPr>
        <w:t xml:space="preserve">В ходе изучения представленный документов и сведений Комиссией Управления также определено, что в руководстве пользователя на устройство </w:t>
      </w:r>
      <w:r>
        <w:rPr>
          <w:rStyle w:val="CharStyle3"/>
          <w:lang w:val="en-US" w:eastAsia="en-US"/>
        </w:rPr>
        <w:t xml:space="preserve">Kyocera </w:t>
      </w:r>
      <w:r>
        <w:rPr>
          <w:rStyle w:val="CharStyle3"/>
        </w:rPr>
        <w:t xml:space="preserve">отражено, что «использование неоригинального (контрафактного или </w:t>
      </w:r>
      <w:r>
        <w:rPr>
          <w:rStyle w:val="CharStyle3"/>
          <w:sz w:val="24"/>
          <w:szCs w:val="24"/>
          <w:lang w:val="en-US" w:eastAsia="en-US"/>
        </w:rPr>
        <w:t>2026-12692</w:t>
      </w:r>
    </w:p>
    <w:p>
      <w:pPr>
        <w:pStyle w:val="Style2"/>
        <w:keepNext w:val="0"/>
        <w:keepLines w:val="0"/>
        <w:widowControl w:val="0"/>
        <w:shd w:val="clear" w:color="auto" w:fill="auto"/>
        <w:bidi w:val="0"/>
        <w:spacing w:before="0" w:after="0" w:line="240" w:lineRule="auto"/>
        <w:ind w:left="0" w:right="0" w:firstLine="0"/>
        <w:jc w:val="both"/>
      </w:pPr>
      <w:r>
        <w:rPr>
          <w:rStyle w:val="CharStyle3"/>
        </w:rPr>
        <w:t>совместимого) тонера может привести к повреждению устройства. Подобное повреждение может повлиять на условия гарантии и повлечь дополнительные расходы для пользователя в связи со снятием таких устройств с гарантийного ремонта».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Аналогичные положения присутствуют в руководстве по эксплуатации на оборудование </w:t>
      </w:r>
      <w:r>
        <w:rPr>
          <w:rStyle w:val="CharStyle3"/>
          <w:lang w:val="en-US" w:eastAsia="en-US"/>
        </w:rPr>
        <w:t xml:space="preserve">Pantum: </w:t>
      </w:r>
      <w:r>
        <w:rPr>
          <w:rStyle w:val="CharStyle3"/>
        </w:rPr>
        <w:t xml:space="preserve">«Использование расходных материалов и запчастей, произведенных не под торговой маркой </w:t>
      </w:r>
      <w:r>
        <w:rPr>
          <w:rStyle w:val="CharStyle3"/>
          <w:lang w:val="en-US" w:eastAsia="en-US"/>
        </w:rPr>
        <w:t xml:space="preserve">PANTUM, </w:t>
      </w:r>
      <w:r>
        <w:rPr>
          <w:rStyle w:val="CharStyle3"/>
        </w:rPr>
        <w:t xml:space="preserve">не обеспечивает функциональную совместимость с устройствами </w:t>
      </w:r>
      <w:r>
        <w:rPr>
          <w:rStyle w:val="CharStyle3"/>
          <w:lang w:val="en-US" w:eastAsia="en-US"/>
        </w:rPr>
        <w:t xml:space="preserve">PANTUM </w:t>
      </w:r>
      <w:r>
        <w:rPr>
          <w:rStyle w:val="CharStyle3"/>
        </w:rPr>
        <w:t>и нарушаетусловия гарантийного обслуживания. Неисправность и поломка устройства по причине использования неоригинальных, восстановленных или «совместимых» расходных материалов и запчастей, является основанием для отказа в гарантийном ремонте устройства».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Также в частности в руководстве по эксплуатации печатной техники </w:t>
      </w:r>
      <w:r>
        <w:rPr>
          <w:rStyle w:val="CharStyle3"/>
          <w:lang w:val="en-US" w:eastAsia="en-US"/>
        </w:rPr>
        <w:t xml:space="preserve">HP: </w:t>
      </w:r>
      <w:r>
        <w:rPr>
          <w:rStyle w:val="CharStyle3"/>
        </w:rPr>
        <w:t xml:space="preserve">«Действие гарантии не распространяется на дефекты, вызванные (а) нарушением требований по техническому обслуживанию или калибровке, (б) использованием программного обеспечения, интерфейсов, деталей или расходных материалов, поставляемых без ведома или участия </w:t>
      </w:r>
      <w:r>
        <w:rPr>
          <w:rStyle w:val="CharStyle3"/>
          <w:lang w:val="en-US" w:eastAsia="en-US"/>
        </w:rPr>
        <w:t xml:space="preserve">HP, </w:t>
      </w:r>
      <w:r>
        <w:rPr>
          <w:rStyle w:val="CharStyle3"/>
        </w:rPr>
        <w:t>(в) несанкционированными модификациями или нарушением режима эксплуатации, (г) эксплуатацией в условиях, отличающихся от опубликованных требований к условиям окружающей среды, (д) нарушением правил подготовки и содержания места установки изделия».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При таких обстоятельствах Комиссия Управления полагает, что в данном случае речь идёт не о фактической совместимости или несовместимости оборудования Заказчика и расходных материалов сторонних производителей, а о потребности Заказчика в оригинальных расходных материалов, для сохранении гарантии на имеющееся у него оборудование.</w:t>
      </w:r>
    </w:p>
    <w:p>
      <w:pPr>
        <w:pStyle w:val="Style2"/>
        <w:keepNext w:val="0"/>
        <w:keepLines w:val="0"/>
        <w:widowControl w:val="0"/>
        <w:shd w:val="clear" w:color="auto" w:fill="auto"/>
        <w:bidi w:val="0"/>
        <w:spacing w:before="0" w:after="0" w:line="240" w:lineRule="auto"/>
        <w:ind w:left="0" w:right="0" w:firstLine="720"/>
        <w:jc w:val="both"/>
      </w:pPr>
      <w:r>
        <w:rPr>
          <w:rStyle w:val="CharStyle3"/>
        </w:rPr>
        <w:t>Таким образом, в случае неисправности оборудования Заказчика, по причине использования расходных материалов иных производителей, Заказчик будет лишён права бесплатного ремонта оборудования.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тоже время Комиссия Управления отмечает, что Заказчиком закупаются расходные материалы для, например, следующих видов оборудования: </w:t>
      </w:r>
      <w:r>
        <w:rPr>
          <w:rStyle w:val="CharStyle3"/>
          <w:lang w:val="en-US" w:eastAsia="en-US"/>
        </w:rPr>
        <w:t xml:space="preserve">Canon, Xerox, Phaser, RICOH </w:t>
      </w:r>
      <w:r>
        <w:rPr>
          <w:rStyle w:val="CharStyle3"/>
        </w:rPr>
        <w:t>к которым также предъявлены требования об оригинальности. Вместе с тем на заседании Комиссии Управления представитель Заказчика пояснил, что указанные устройства не находятся на гарантии.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Резюмируя вышеизложенное, на заседание Комиссии Управления представителем Заказчика не представлено каких-либо документов и сведений, подтверждающих необходимость использования исключительно оригинальных расходных материалов для печатной техники </w:t>
      </w:r>
      <w:r>
        <w:rPr>
          <w:rStyle w:val="CharStyle3"/>
          <w:lang w:val="en-US" w:eastAsia="en-US"/>
        </w:rPr>
        <w:t>Canon, Xerox, Phaser, RICOH.</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Комиссия Управления полагает, что Заказчиком не учтено, что указание на конкретные модели и товарный знак закупаемых картриджей приводит к невозможности формирования предложения с товарами иных производителей.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На основании изложенного, в отсутствие доказательств обратного, Комиссия Управления приходит к выводу о нарушении Заказчиком положений п.1 ч.1 ст.33 Закона о контрактной системе, что содержит признаки состава административного правонарушения, ответственность за которое предусмотрена ч.6 ст. </w:t>
      </w:r>
      <w:r>
        <w:rPr>
          <w:rStyle w:val="CharStyle3"/>
          <w:lang w:val="en-US" w:eastAsia="en-US"/>
        </w:rPr>
        <w:t xml:space="preserve">7.30.1 </w:t>
      </w:r>
      <w:r>
        <w:rPr>
          <w:rStyle w:val="CharStyle3"/>
        </w:rPr>
        <w:t>Кодекса Российской Федерации об административных правонарушениях.</w:t>
      </w:r>
    </w:p>
    <w:p>
      <w:pPr>
        <w:pStyle w:val="Style2"/>
        <w:keepNext w:val="0"/>
        <w:keepLines w:val="0"/>
        <w:widowControl w:val="0"/>
        <w:shd w:val="clear" w:color="auto" w:fill="auto"/>
        <w:bidi w:val="0"/>
        <w:spacing w:before="0" w:after="0" w:line="240" w:lineRule="auto"/>
        <w:ind w:left="0" w:right="0" w:firstLine="700"/>
        <w:jc w:val="both"/>
      </w:pPr>
      <w:r>
        <w:rPr>
          <w:rStyle w:val="CharStyle3"/>
        </w:rPr>
        <w:t>Исследовав представленные материалы, руководствуясь Законом о контрактной</w:t>
      </w:r>
      <w:r>
        <w:br w:type="page"/>
      </w:r>
    </w:p>
    <w:p>
      <w:pPr>
        <w:pStyle w:val="Style2"/>
        <w:keepNext w:val="0"/>
        <w:keepLines w:val="0"/>
        <w:widowControl w:val="0"/>
        <w:shd w:val="clear" w:color="auto" w:fill="auto"/>
        <w:bidi w:val="0"/>
        <w:spacing w:before="0" w:after="180" w:line="240" w:lineRule="auto"/>
        <w:ind w:left="0" w:right="0" w:firstLine="0"/>
        <w:jc w:val="both"/>
      </w:pPr>
      <w:r>
        <w:rPr>
          <w:rStyle w:val="CharStyle3"/>
        </w:rPr>
        <w:t>системе, Комиссия Управления</w:t>
      </w:r>
    </w:p>
    <w:p>
      <w:pPr>
        <w:pStyle w:val="Style2"/>
        <w:keepNext w:val="0"/>
        <w:keepLines w:val="0"/>
        <w:widowControl w:val="0"/>
        <w:shd w:val="clear" w:color="auto" w:fill="auto"/>
        <w:bidi w:val="0"/>
        <w:spacing w:before="0" w:after="280" w:line="240" w:lineRule="auto"/>
        <w:ind w:left="0" w:right="0" w:firstLine="0"/>
        <w:jc w:val="center"/>
      </w:pPr>
      <w:r>
        <w:rPr>
          <w:rStyle w:val="CharStyle3"/>
          <w:b/>
          <w:bCs/>
        </w:rPr>
        <w:t>РЕШИЛА:</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1.Признать жалобу ООО «Просервис» на действия ФГБУ «РНЦРР» Минздрава России обоснованной в части неправомерности закупки оригинальных расходных материалов для техники </w:t>
      </w:r>
      <w:r>
        <w:rPr>
          <w:rStyle w:val="CharStyle3"/>
          <w:lang w:val="en-US" w:eastAsia="en-US"/>
        </w:rPr>
        <w:t>Canon, Xerox, Phaser, RICOH.</w:t>
      </w:r>
    </w:p>
    <w:p>
      <w:pPr>
        <w:pStyle w:val="Style2"/>
        <w:keepNext w:val="0"/>
        <w:keepLines w:val="0"/>
        <w:widowControl w:val="0"/>
        <w:shd w:val="clear" w:color="auto" w:fill="auto"/>
        <w:bidi w:val="0"/>
        <w:spacing w:before="0" w:after="0" w:line="240" w:lineRule="auto"/>
        <w:ind w:left="0" w:right="0" w:firstLine="680"/>
        <w:jc w:val="both"/>
      </w:pPr>
      <w:r>
        <w:rPr>
          <w:rStyle w:val="CharStyle3"/>
        </w:rPr>
        <w:t>2.Признать в действиях Заказчика нарушение п.1 ч.1 ст.33 Закона о контрактной системе.</w:t>
      </w:r>
    </w:p>
    <w:p>
      <w:pPr>
        <w:pStyle w:val="Style2"/>
        <w:keepNext w:val="0"/>
        <w:keepLines w:val="0"/>
        <w:widowControl w:val="0"/>
        <w:shd w:val="clear" w:color="auto" w:fill="auto"/>
        <w:bidi w:val="0"/>
        <w:spacing w:before="0" w:after="0" w:line="240" w:lineRule="auto"/>
        <w:ind w:left="0" w:right="0" w:firstLine="680"/>
        <w:jc w:val="both"/>
      </w:pPr>
      <w:r>
        <w:rPr>
          <w:rStyle w:val="CharStyle3"/>
        </w:rPr>
        <w:t>3.Выдать Заказчику обязательное для исполнения предписание об устранении нарушений 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680"/>
        <w:jc w:val="both"/>
      </w:pPr>
      <w:r>
        <w:rPr>
          <w:rStyle w:val="CharStyle3"/>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Решение может быть обжаловано в судебном порядке в Арбитражном суде г. Москвы в течение </w:t>
      </w:r>
      <w:r>
        <w:rPr>
          <w:rStyle w:val="CharStyle3"/>
          <w:lang w:val="en-US" w:eastAsia="en-US"/>
        </w:rPr>
        <w:t xml:space="preserve">3 </w:t>
      </w:r>
      <w:r>
        <w:rPr>
          <w:rStyle w:val="CharStyle3"/>
        </w:rPr>
        <w:t xml:space="preserve">(трех) месяцев с даты его принятия в порядке, установленном гл. </w:t>
      </w:r>
      <w:r>
        <w:rPr>
          <w:rStyle w:val="CharStyle3"/>
          <w:lang w:val="en-US" w:eastAsia="en-US"/>
        </w:rPr>
        <w:t xml:space="preserve">24 </w:t>
      </w:r>
      <w:r>
        <w:rPr>
          <w:rStyle w:val="CharStyle3"/>
        </w:rPr>
        <w:t>АПК РФ.</w:t>
      </w:r>
    </w:p>
    <w:p>
      <w:pPr>
        <w:widowControl w:val="0"/>
        <w:spacing w:line="1" w:lineRule="exact"/>
        <w:sectPr>
          <w:headerReference w:type="default" r:id="rId19"/>
          <w:footerReference w:type="default" r:id="rId20"/>
          <w:footnotePr>
            <w:pos w:val="pageBottom"/>
            <w:numFmt w:val="decimal"/>
            <w:numRestart w:val="continuous"/>
          </w:footnotePr>
          <w:pgSz w:w="11900" w:h="16840"/>
          <w:pgMar w:top="1148" w:right="535" w:bottom="1129" w:left="1103" w:header="0" w:footer="3" w:gutter="0"/>
          <w:cols w:space="720"/>
          <w:noEndnote/>
          <w:rtlGutter w:val="0"/>
          <w:docGrid w:linePitch="360"/>
        </w:sectPr>
      </w:pPr>
      <w:r>
        <mc:AlternateContent>
          <mc:Choice Requires="wps">
            <w:drawing>
              <wp:anchor distT="127000" distB="341630" distL="0" distR="0" simplePos="0" relativeHeight="125829378" behindDoc="0" locked="0" layoutInCell="1" allowOverlap="1">
                <wp:simplePos x="0" y="0"/>
                <wp:positionH relativeFrom="page">
                  <wp:posOffset>738505</wp:posOffset>
                </wp:positionH>
                <wp:positionV relativeFrom="paragraph">
                  <wp:posOffset>127000</wp:posOffset>
                </wp:positionV>
                <wp:extent cx="1844040" cy="252730"/>
                <wp:wrapTopAndBottom/>
                <wp:docPr id="23" name="Shape 23"/>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8.149999999999999pt;margin-top:10.pt;width:145.20000000000002pt;height:19.900000000000002pt;z-index:-125829375;mso-wrap-distance-left:0;mso-wrap-distance-top:10.pt;mso-wrap-distance-right:0;mso-wrap-distance-bottom:26.9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v:textbox>
                <w10:wrap type="topAndBottom" anchorx="page"/>
              </v:shape>
            </w:pict>
          </mc:Fallback>
        </mc:AlternateContent>
      </w:r>
      <w:r>
        <w:drawing>
          <wp:anchor distT="163830" distB="0" distL="0" distR="1786255" simplePos="0" relativeHeight="125829380" behindDoc="0" locked="0" layoutInCell="1" allowOverlap="1">
            <wp:simplePos x="0" y="0"/>
            <wp:positionH relativeFrom="page">
              <wp:posOffset>2966720</wp:posOffset>
            </wp:positionH>
            <wp:positionV relativeFrom="paragraph">
              <wp:posOffset>163830</wp:posOffset>
            </wp:positionV>
            <wp:extent cx="389890" cy="56070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21"/>
                    <a:stretch/>
                  </pic:blipFill>
                  <pic:spPr>
                    <a:xfrm>
                      <a:ext cx="389890" cy="5607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3457575</wp:posOffset>
                </wp:positionH>
                <wp:positionV relativeFrom="paragraph">
                  <wp:posOffset>605790</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72.25pt;margin-top:47.700000000000003pt;width:101.05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3417570</wp:posOffset>
                </wp:positionH>
                <wp:positionV relativeFrom="paragraph">
                  <wp:posOffset>288925</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69.10000000000002pt;margin-top:22.75pt;width:135.59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1630" distL="0" distR="0" simplePos="0" relativeHeight="125829381" behindDoc="0" locked="0" layoutInCell="1" allowOverlap="1">
                <wp:simplePos x="0" y="0"/>
                <wp:positionH relativeFrom="page">
                  <wp:posOffset>5904865</wp:posOffset>
                </wp:positionH>
                <wp:positionV relativeFrom="paragraph">
                  <wp:posOffset>127000</wp:posOffset>
                </wp:positionV>
                <wp:extent cx="1307465" cy="252730"/>
                <wp:wrapTopAndBottom/>
                <wp:docPr id="31" name="Shape 31"/>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А.А. Кутейников</w:t>
                            </w:r>
                          </w:p>
                        </w:txbxContent>
                      </wps:txbx>
                      <wps:bodyPr wrap="none" lIns="0" tIns="0" rIns="0" bIns="0">
                        <a:noAutoFit/>
                      </wps:bodyPr>
                    </wps:wsp>
                  </a:graphicData>
                </a:graphic>
              </wp:anchor>
            </w:drawing>
          </mc:Choice>
          <mc:Fallback>
            <w:pict>
              <v:shape id="_x0000_s1057" type="#_x0000_t202" style="position:absolute;margin-left:464.94999999999999pt;margin-top:10.pt;width:102.95pt;height:19.900000000000002pt;z-index:-125829372;mso-wrap-distance-left:0;mso-wrap-distance-top:10.pt;mso-wrap-distance-right:0;mso-wrap-distance-bottom:26.9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А.А. Кутейников</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Кутейников Антон Андреевич</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67950889C45403E5BD9EBC88A8D80C0D</w:t>
      </w:r>
    </w:p>
    <w:p>
      <w:pPr>
        <w:pStyle w:val="Style21"/>
        <w:keepNext w:val="0"/>
        <w:keepLines w:val="0"/>
        <w:widowControl w:val="0"/>
        <w:shd w:val="clear" w:color="auto" w:fill="auto"/>
        <w:bidi w:val="0"/>
        <w:spacing w:before="0" w:after="580" w:line="240" w:lineRule="auto"/>
        <w:ind w:right="0" w:firstLine="0"/>
        <w:jc w:val="left"/>
      </w:pPr>
      <w:r>
        <w:rPr>
          <w:rStyle w:val="CharStyle22"/>
        </w:rPr>
        <w:t xml:space="preserve">Действителен с 19.05.2025 </w:t>
      </w:r>
      <w:r>
        <w:rPr>
          <w:rStyle w:val="CharStyle22"/>
          <w:color w:val="5E5E5E"/>
        </w:rPr>
        <w:t xml:space="preserve">по </w:t>
      </w:r>
      <w:r>
        <w:rPr>
          <w:rStyle w:val="CharStyle22"/>
        </w:rPr>
        <w:t>12.08.2026</w:t>
      </w:r>
    </w:p>
    <w:p>
      <w:pPr>
        <w:pStyle w:val="Style2"/>
        <w:keepNext w:val="0"/>
        <w:keepLines w:val="0"/>
        <w:widowControl w:val="0"/>
        <w:shd w:val="clear" w:color="auto" w:fill="auto"/>
        <w:bidi w:val="0"/>
        <w:spacing w:before="0" w:after="80" w:line="240" w:lineRule="auto"/>
        <w:ind w:left="0" w:right="0" w:firstLine="0"/>
        <w:jc w:val="left"/>
      </w:pPr>
      <w:r>
        <w:rPr>
          <w:rStyle w:val="CharStyle3"/>
        </w:rPr>
        <w:t>Члены Комиссии:</w:t>
      </w:r>
    </w:p>
    <w:p>
      <w:pPr>
        <w:pStyle w:val="Style2"/>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3" behindDoc="0" locked="0" layoutInCell="1" allowOverlap="1">
            <wp:simplePos x="0" y="0"/>
            <wp:positionH relativeFrom="page">
              <wp:posOffset>2996565</wp:posOffset>
            </wp:positionH>
            <wp:positionV relativeFrom="paragraph">
              <wp:posOffset>63500</wp:posOffset>
            </wp:positionV>
            <wp:extent cx="359410" cy="52451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3"/>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3456940</wp:posOffset>
                </wp:positionH>
                <wp:positionV relativeFrom="paragraph">
                  <wp:posOffset>468630</wp:posOffset>
                </wp:positionV>
                <wp:extent cx="1283335" cy="100330"/>
                <wp:wrapNone/>
                <wp:docPr id="35" name="Shape 3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72.19999999999999pt;margin-top:36.899999999999999pt;width:101.05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3416935</wp:posOffset>
                </wp:positionH>
                <wp:positionV relativeFrom="paragraph">
                  <wp:posOffset>151765</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69.05000000000001pt;margin-top:11.950000000000001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М.В. Сорбучева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СОРБУЧЕВА МАРИЯ ВАСИЛЬЕВНА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6EBF6CE6C27B6345D47DBCD40C7FA5FD</w:t>
      </w:r>
    </w:p>
    <w:p>
      <w:pPr>
        <w:pStyle w:val="Style21"/>
        <w:keepNext w:val="0"/>
        <w:keepLines w:val="0"/>
        <w:widowControl w:val="0"/>
        <w:shd w:val="clear" w:color="auto" w:fill="auto"/>
        <w:bidi w:val="0"/>
        <w:spacing w:before="0" w:after="580" w:line="240" w:lineRule="auto"/>
        <w:ind w:right="0" w:firstLine="0"/>
        <w:jc w:val="left"/>
      </w:pPr>
      <w:r>
        <w:rPr>
          <w:rStyle w:val="CharStyle22"/>
        </w:rPr>
        <w:t xml:space="preserve">Действителен с 19.09.2025 </w:t>
      </w:r>
      <w:r>
        <w:rPr>
          <w:rStyle w:val="CharStyle22"/>
          <w:color w:val="5E5E5E"/>
        </w:rPr>
        <w:t xml:space="preserve">по </w:t>
      </w:r>
      <w:r>
        <w:rPr>
          <w:rStyle w:val="CharStyle22"/>
        </w:rPr>
        <w:t>13.12.2026</w:t>
      </w:r>
    </w:p>
    <w:p>
      <w:pPr>
        <w:pStyle w:val="Style2"/>
        <w:keepNext w:val="0"/>
        <w:keepLines w:val="0"/>
        <w:widowControl w:val="0"/>
        <w:shd w:val="clear" w:color="auto" w:fill="auto"/>
        <w:bidi w:val="0"/>
        <w:spacing w:before="0" w:after="370" w:line="240" w:lineRule="auto"/>
        <w:ind w:left="0" w:right="0" w:firstLine="0"/>
        <w:jc w:val="center"/>
      </w:pPr>
      <w:r>
        <w:drawing>
          <wp:anchor distT="0" distB="0" distL="114300" distR="1900555" simplePos="0" relativeHeight="125829384" behindDoc="0" locked="0" layoutInCell="1" allowOverlap="1">
            <wp:simplePos x="0" y="0"/>
            <wp:positionH relativeFrom="page">
              <wp:posOffset>2996565</wp:posOffset>
            </wp:positionH>
            <wp:positionV relativeFrom="paragraph">
              <wp:posOffset>63500</wp:posOffset>
            </wp:positionV>
            <wp:extent cx="359410" cy="39624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5"/>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3416935</wp:posOffset>
                </wp:positionH>
                <wp:positionV relativeFrom="paragraph">
                  <wp:posOffset>151765</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69.05000000000001pt;margin-top:11.950000000000001pt;width:135.59999999999999pt;height:20.40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А.С. Гелмутдинова</w: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27"/>
          <w:color w:val="FFFFFF"/>
        </w:rPr>
        <w:t>СВЕДЕНИЯ О СЕРТИФИКАТЕ ЭП</w:t>
      </w:r>
    </w:p>
    <w:p>
      <w:pPr>
        <w:pStyle w:val="Style21"/>
        <w:keepNext w:val="0"/>
        <w:keepLines w:val="0"/>
        <w:widowControl w:val="0"/>
        <w:shd w:val="clear" w:color="auto" w:fill="auto"/>
        <w:bidi w:val="0"/>
        <w:spacing w:before="0" w:after="0" w:line="266" w:lineRule="auto"/>
        <w:ind w:right="0" w:firstLine="0"/>
        <w:jc w:val="left"/>
      </w:pPr>
      <w:r>
        <w:rPr>
          <w:rStyle w:val="CharStyle22"/>
        </w:rPr>
        <w:t xml:space="preserve">Кому выдан: </w:t>
      </w:r>
      <w:r>
        <w:rPr>
          <w:rStyle w:val="CharStyle22"/>
          <w:color w:val="000000"/>
        </w:rPr>
        <w:t>ГЕЛМУТДИНОВА АНАСТАСИЯ СЕРГЕЕВНА</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rPr>
        <w:t>723501СС21703599976371</w:t>
      </w:r>
      <w:r>
        <w:rPr>
          <w:rStyle w:val="CharStyle22"/>
          <w:lang w:val="en-US" w:eastAsia="en-US"/>
        </w:rPr>
        <w:t>4F5C652689</w:t>
      </w:r>
    </w:p>
    <w:p>
      <w:pPr>
        <w:pStyle w:val="Style21"/>
        <w:keepNext w:val="0"/>
        <w:keepLines w:val="0"/>
        <w:widowControl w:val="0"/>
        <w:shd w:val="clear" w:color="auto" w:fill="auto"/>
        <w:bidi w:val="0"/>
        <w:spacing w:before="0" w:after="1620" w:line="266" w:lineRule="auto"/>
        <w:ind w:right="0" w:firstLine="0"/>
        <w:jc w:val="left"/>
      </w:pPr>
      <w:r>
        <w:rPr>
          <w:rStyle w:val="CharStyle22"/>
        </w:rPr>
        <w:t xml:space="preserve">Действителен с 09.02.2026 </w:t>
      </w:r>
      <w:r>
        <w:rPr>
          <w:rStyle w:val="CharStyle22"/>
          <w:color w:val="5E5E5E"/>
        </w:rPr>
        <w:t xml:space="preserve">по </w:t>
      </w:r>
      <w:r>
        <w:rPr>
          <w:rStyle w:val="CharStyle22"/>
        </w:rPr>
        <w:t>05.05.2027</w:t>
      </w:r>
    </w:p>
    <w:p>
      <w:pPr>
        <w:pStyle w:val="Style28"/>
        <w:keepNext w:val="0"/>
        <w:keepLines w:val="0"/>
        <w:widowControl w:val="0"/>
        <w:shd w:val="clear" w:color="auto" w:fill="auto"/>
        <w:bidi w:val="0"/>
        <w:spacing w:before="0" w:line="240" w:lineRule="auto"/>
        <w:ind w:left="0" w:right="0" w:firstLine="0"/>
        <w:jc w:val="left"/>
      </w:pPr>
      <w:r>
        <w:rPr>
          <w:rStyle w:val="CharStyle29"/>
        </w:rPr>
        <w:t>Исп.Сорбучева М.В. тел.8(495)784-75-05</w:t>
      </w:r>
    </w:p>
    <w:sectPr>
      <w:footnotePr>
        <w:pos w:val="pageBottom"/>
        <w:numFmt w:val="decimal"/>
        <w:numRestart w:val="continuous"/>
      </w:footnotePr>
      <w:type w:val="continuous"/>
      <w:pgSz w:w="11900" w:h="16840"/>
      <w:pgMar w:top="1162" w:right="536"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725805</wp:posOffset>
              </wp:positionH>
              <wp:positionV relativeFrom="page">
                <wp:posOffset>10101580</wp:posOffset>
              </wp:positionV>
              <wp:extent cx="722630" cy="103505"/>
              <wp:wrapNone/>
              <wp:docPr id="5" name="Shape 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2026-12692</w:t>
                          </w:r>
                        </w:p>
                      </w:txbxContent>
                    </wps:txbx>
                    <wps:bodyPr wrap="none" lIns="0" tIns="0" rIns="0" bIns="0">
                      <a:spAutoFit/>
                    </wps:bodyPr>
                  </wps:wsp>
                </a:graphicData>
              </a:graphic>
            </wp:anchor>
          </w:drawing>
        </mc:Choice>
        <mc:Fallback>
          <w:pict>
            <v:shape id="_x0000_s1031" type="#_x0000_t202" style="position:absolute;margin-left:57.149999999999999pt;margin-top:795.39999999999998pt;width:56.899999999999999pt;height:8.1500000000000004pt;z-index:-188744060;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2026-12692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10247630</wp:posOffset>
              </wp:positionV>
              <wp:extent cx="734695" cy="94615"/>
              <wp:wrapNone/>
              <wp:docPr id="7" name="Shape 7"/>
              <a:graphic xmlns:a="http://schemas.openxmlformats.org/drawingml/2006/main">
                <a:graphicData uri="http://schemas.microsoft.com/office/word/2010/wordprocessingShape">
                  <wps:wsp>
                    <wps:cNvSpPr txBox="1"/>
                    <wps:spPr>
                      <a:xfrm>
                        <a:ext cx="734695" cy="9461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2026-12692</w:t>
                          </w:r>
                        </w:p>
                      </w:txbxContent>
                    </wps:txbx>
                    <wps:bodyPr wrap="none" lIns="0" tIns="0" rIns="0" bIns="0">
                      <a:spAutoFit/>
                    </wps:bodyPr>
                  </wps:wsp>
                </a:graphicData>
              </a:graphic>
            </wp:anchor>
          </w:drawing>
        </mc:Choice>
        <mc:Fallback>
          <w:pict>
            <v:shape id="_x0000_s1033" type="#_x0000_t202" style="position:absolute;margin-left:57.pt;margin-top:806.89999999999998pt;width:57.850000000000001pt;height:7.4500000000000002pt;z-index:-188744058;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2026-12692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725805</wp:posOffset>
              </wp:positionH>
              <wp:positionV relativeFrom="page">
                <wp:posOffset>10101580</wp:posOffset>
              </wp:positionV>
              <wp:extent cx="722630" cy="103505"/>
              <wp:wrapNone/>
              <wp:docPr id="15" name="Shape 1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2026-12692</w:t>
                          </w:r>
                        </w:p>
                      </w:txbxContent>
                    </wps:txbx>
                    <wps:bodyPr wrap="none" lIns="0" tIns="0" rIns="0" bIns="0">
                      <a:spAutoFit/>
                    </wps:bodyPr>
                  </wps:wsp>
                </a:graphicData>
              </a:graphic>
            </wp:anchor>
          </w:drawing>
        </mc:Choice>
        <mc:Fallback>
          <w:pict>
            <v:shape id="_x0000_s1041" type="#_x0000_t202" style="position:absolute;margin-left:57.149999999999999pt;margin-top:795.39999999999998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2026-12692</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725805</wp:posOffset>
              </wp:positionH>
              <wp:positionV relativeFrom="page">
                <wp:posOffset>10101580</wp:posOffset>
              </wp:positionV>
              <wp:extent cx="722630" cy="103505"/>
              <wp:wrapNone/>
              <wp:docPr id="21" name="Shape 2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2026-12692</w:t>
                          </w:r>
                        </w:p>
                      </w:txbxContent>
                    </wps:txbx>
                    <wps:bodyPr wrap="none" lIns="0" tIns="0" rIns="0" bIns="0">
                      <a:spAutoFit/>
                    </wps:bodyPr>
                  </wps:wsp>
                </a:graphicData>
              </a:graphic>
            </wp:anchor>
          </w:drawing>
        </mc:Choice>
        <mc:Fallback>
          <w:pict>
            <v:shape id="_x0000_s1047" type="#_x0000_t202" style="position:absolute;margin-left:57.149999999999999pt;margin-top:795.39999999999998pt;width:56.899999999999999pt;height:8.1500000000000004pt;z-index:-18874404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2026-12692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3926205</wp:posOffset>
              </wp:positionH>
              <wp:positionV relativeFrom="page">
                <wp:posOffset>485140</wp:posOffset>
              </wp:positionV>
              <wp:extent cx="64135" cy="100330"/>
              <wp:wrapNone/>
              <wp:docPr id="3" name="Shape 3"/>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5000000000003pt;margin-top:38.200000000000003pt;width:5.0499999999999998pt;height:7.9000000000000004pt;z-index:-188744062;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3925570</wp:posOffset>
              </wp:positionH>
              <wp:positionV relativeFrom="page">
                <wp:posOffset>473075</wp:posOffset>
              </wp:positionV>
              <wp:extent cx="69850" cy="69850"/>
              <wp:wrapNone/>
              <wp:docPr id="11" name="Shape 11"/>
              <a:graphic xmlns:a="http://schemas.openxmlformats.org/drawingml/2006/main">
                <a:graphicData uri="http://schemas.microsoft.com/office/word/2010/wordprocessingShape">
                  <wps:wsp>
                    <wps:cNvSpPr txBox="1"/>
                    <wps:spPr>
                      <a:xfrm>
                        <a:ext cx="69850"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9.10000000000002pt;margin-top:37.25pt;width:5.5pt;height:5.5pt;z-index:-18874405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3926205</wp:posOffset>
              </wp:positionH>
              <wp:positionV relativeFrom="page">
                <wp:posOffset>485140</wp:posOffset>
              </wp:positionV>
              <wp:extent cx="64135" cy="100330"/>
              <wp:wrapNone/>
              <wp:docPr id="13" name="Shape 13"/>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9.15000000000003pt;margin-top:38.200000000000003pt;width:5.0499999999999998pt;height:7.9000000000000004pt;z-index:-18874405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3925570</wp:posOffset>
              </wp:positionH>
              <wp:positionV relativeFrom="page">
                <wp:posOffset>473075</wp:posOffset>
              </wp:positionV>
              <wp:extent cx="69850" cy="69850"/>
              <wp:wrapNone/>
              <wp:docPr id="17" name="Shape 17"/>
              <a:graphic xmlns:a="http://schemas.openxmlformats.org/drawingml/2006/main">
                <a:graphicData uri="http://schemas.microsoft.com/office/word/2010/wordprocessingShape">
                  <wps:wsp>
                    <wps:cNvSpPr txBox="1"/>
                    <wps:spPr>
                      <a:xfrm>
                        <a:ext cx="69850"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9.10000000000002pt;margin-top:37.25pt;width:5.5pt;height:5.5pt;z-index:-18874404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3926205</wp:posOffset>
              </wp:positionH>
              <wp:positionV relativeFrom="page">
                <wp:posOffset>485140</wp:posOffset>
              </wp:positionV>
              <wp:extent cx="64135" cy="100330"/>
              <wp:wrapNone/>
              <wp:docPr id="19" name="Shape 19"/>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9.15000000000003pt;margin-top:38.200000000000003pt;width:5.0499999999999998pt;height:7.9000000000000004pt;z-index:-18874404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5"/>
      <w:numFmt w:val="decimal"/>
      <w:lvlText w:val="%1."/>
    </w:lvl>
    <w:lvl w:ilvl="1">
      <w:start w:val="5"/>
      <w:numFmt w:val="decimal"/>
      <w:lvlText w:val="%1.%2."/>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Body text (3)_"/>
    <w:basedOn w:val="DefaultParagraphFont"/>
    <w:link w:val="Style4"/>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9">
    <w:name w:val="Heading #1_"/>
    <w:basedOn w:val="DefaultParagraphFont"/>
    <w:link w:val="Style8"/>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24242"/>
      <w:sz w:val="12"/>
      <w:szCs w:val="12"/>
      <w:u w:val="none"/>
    </w:rPr>
  </w:style>
  <w:style w:type="character" w:customStyle="1" w:styleId="CharStyle27">
    <w:name w:val="Body text (5)_"/>
    <w:basedOn w:val="DefaultParagraphFont"/>
    <w:link w:val="Style26"/>
    <w:rPr>
      <w:rFonts w:ascii="Georgia" w:eastAsia="Georgia" w:hAnsi="Georgia" w:cs="Georgia"/>
      <w:b w:val="0"/>
      <w:bCs w:val="0"/>
      <w:i w:val="0"/>
      <w:iCs w:val="0"/>
      <w:smallCaps w:val="0"/>
      <w:strike w:val="0"/>
      <w:color w:val="EBEBEB"/>
      <w:sz w:val="12"/>
      <w:szCs w:val="12"/>
      <w:u w:val="none"/>
    </w:rPr>
  </w:style>
  <w:style w:type="character" w:customStyle="1" w:styleId="CharStyle29">
    <w:name w:val="Body text (4)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Body text (3)"/>
    <w:basedOn w:val="Normal"/>
    <w:link w:val="CharStyle5"/>
    <w:pPr>
      <w:widowControl w:val="0"/>
      <w:shd w:val="clear" w:color="auto" w:fill="auto"/>
      <w:spacing w:after="100"/>
      <w:ind w:left="550"/>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8">
    <w:name w:val="Heading #1"/>
    <w:basedOn w:val="Normal"/>
    <w:link w:val="CharStyle9"/>
    <w:pPr>
      <w:widowControl w:val="0"/>
      <w:shd w:val="clear" w:color="auto" w:fill="auto"/>
      <w:spacing w:after="230"/>
      <w:ind w:left="890" w:firstLine="80"/>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Body text (2)"/>
    <w:basedOn w:val="Normal"/>
    <w:link w:val="CharStyle22"/>
    <w:pPr>
      <w:widowControl w:val="0"/>
      <w:shd w:val="clear" w:color="auto" w:fill="auto"/>
      <w:ind w:left="3640"/>
    </w:pPr>
    <w:rPr>
      <w:rFonts w:ascii="Arial" w:eastAsia="Arial" w:hAnsi="Arial" w:cs="Arial"/>
      <w:b w:val="0"/>
      <w:bCs w:val="0"/>
      <w:i w:val="0"/>
      <w:iCs w:val="0"/>
      <w:smallCaps w:val="0"/>
      <w:strike w:val="0"/>
      <w:color w:val="424242"/>
      <w:sz w:val="12"/>
      <w:szCs w:val="12"/>
      <w:u w:val="none"/>
    </w:rPr>
  </w:style>
  <w:style w:type="paragraph" w:customStyle="1" w:styleId="Style26">
    <w:name w:val="Body text (5)"/>
    <w:basedOn w:val="Normal"/>
    <w:link w:val="CharStyle27"/>
    <w:pPr>
      <w:widowControl w:val="0"/>
      <w:shd w:val="clear" w:color="auto" w:fill="auto"/>
      <w:spacing w:after="80"/>
      <w:jc w:val="center"/>
    </w:pPr>
    <w:rPr>
      <w:rFonts w:ascii="Georgia" w:eastAsia="Georgia" w:hAnsi="Georgia" w:cs="Georgia"/>
      <w:b w:val="0"/>
      <w:bCs w:val="0"/>
      <w:i w:val="0"/>
      <w:iCs w:val="0"/>
      <w:smallCaps w:val="0"/>
      <w:strike w:val="0"/>
      <w:color w:val="EBEBEB"/>
      <w:sz w:val="12"/>
      <w:szCs w:val="12"/>
      <w:u w:val="none"/>
    </w:rPr>
  </w:style>
  <w:style w:type="paragraph" w:customStyle="1" w:styleId="Style28">
    <w:name w:val="Body text (4)"/>
    <w:basedOn w:val="Normal"/>
    <w:link w:val="CharStyle29"/>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 Id="rId25" Type="http://schemas.openxmlformats.org/officeDocument/2006/relationships/image" Target="media/image5.jpeg"/><Relationship Id="rId26" Type="http://schemas.openxmlformats.org/officeDocument/2006/relationships/image" Target="media/image5.jpeg" TargetMode="External"/></Relationships>
</file>