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7,</w:t>
      </w:r>
      <w:r>
        <w:rPr>
          <w:rStyle w:val="CharStyle11"/>
        </w:rPr>
        <w:t>03.2026</w:t>
      </w:r>
      <w:r>
        <w:rPr>
          <w:rStyle w:val="CharStyle11"/>
          <w:u w:val="none"/>
        </w:rPr>
        <w:tab/>
      </w:r>
      <w:r>
        <w:fldChar w:fldCharType="end"/>
      </w:r>
      <w:r>
        <w:rPr>
          <w:rStyle w:val="CharStyle11"/>
          <w:u w:val="none"/>
        </w:rPr>
        <w:t xml:space="preserve">№ </w:t>
      </w:r>
      <w:r>
        <w:rPr>
          <w:rStyle w:val="CharStyle11"/>
        </w:rPr>
        <w:t>ЕЧ/842/26</w:t>
      </w:r>
      <w:bookmarkEnd w:id="0"/>
    </w:p>
    <w:p>
      <w:pPr>
        <w:pStyle w:val="Style13"/>
        <w:keepNext w:val="0"/>
        <w:keepLines w:val="0"/>
        <w:widowControl w:val="0"/>
        <w:shd w:val="clear" w:color="auto" w:fill="auto"/>
        <w:bidi w:val="0"/>
        <w:spacing w:before="0" w:after="0"/>
        <w:ind w:left="0" w:right="0" w:firstLine="0"/>
        <w:jc w:val="center"/>
      </w:pPr>
      <w:r>
        <w:rPr>
          <w:rStyle w:val="CharStyle14"/>
        </w:rPr>
        <w:t xml:space="preserve">На №  от</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ООО "СИНАПС"</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 xml:space="preserve">ФГБОУ ВО «Ивановский государственный энергетический университет имени В.И. Ленина» </w:t>
      </w:r>
      <w:r>
        <w:fldChar w:fldCharType="begin"/>
      </w:r>
      <w:r>
        <w:rPr/>
        <w:instrText> HYPERLINK "mailto:zakupki@ispu.ru" </w:instrText>
      </w:r>
      <w:r>
        <w:fldChar w:fldCharType="separate"/>
      </w:r>
      <w:r>
        <w:rPr>
          <w:rStyle w:val="CharStyle16"/>
          <w:b/>
          <w:bCs/>
          <w:color w:val="000080"/>
          <w:sz w:val="28"/>
          <w:szCs w:val="28"/>
          <w:u w:val="single"/>
          <w:lang w:val="en-US" w:eastAsia="en-US"/>
        </w:rPr>
        <w:t>zakupki@ispu.ru</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1199" w:bottom="1154" w:left="1135" w:header="0" w:footer="3" w:gutter="0"/>
          <w:pgNumType w:start="1"/>
          <w:cols w:num="2" w:space="965"/>
          <w:noEndnote/>
          <w:titlePg/>
          <w:rtlGutter w:val="0"/>
          <w:docGrid w:linePitch="360"/>
        </w:sectPr>
      </w:pPr>
      <w:r>
        <w:rPr>
          <w:rStyle w:val="CharStyle16"/>
          <w:b/>
          <w:bCs/>
          <w:sz w:val="28"/>
          <w:szCs w:val="28"/>
        </w:rPr>
        <w:t xml:space="preserve">АО ТЭК Торг </w:t>
      </w:r>
      <w:r>
        <w:fldChar w:fldCharType="begin"/>
      </w:r>
      <w:r>
        <w:rPr/>
        <w:instrText> HYPERLINK "mailto:help@tektorg.ru" </w:instrText>
      </w:r>
      <w:r>
        <w:fldChar w:fldCharType="separate"/>
      </w:r>
      <w:r>
        <w:rPr>
          <w:rStyle w:val="CharStyle16"/>
          <w:b/>
          <w:bCs/>
          <w:color w:val="000080"/>
          <w:sz w:val="28"/>
          <w:szCs w:val="28"/>
          <w:u w:val="single"/>
          <w:lang w:val="en-US" w:eastAsia="en-US"/>
        </w:rPr>
        <w:t>help@tektorg.ru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6" w:right="0" w:bottom="1128"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center"/>
      </w:pPr>
      <w:r>
        <w:rPr>
          <w:rStyle w:val="CharStyle16"/>
        </w:rPr>
        <w:t>РЕШЕНИЕ №037/06/105-96/2026 (07-15/2026-023)</w:t>
      </w:r>
    </w:p>
    <w:p>
      <w:pPr>
        <w:pStyle w:val="Style15"/>
        <w:keepNext w:val="0"/>
        <w:keepLines w:val="0"/>
        <w:widowControl w:val="0"/>
        <w:shd w:val="clear" w:color="auto" w:fill="auto"/>
        <w:tabs>
          <w:tab w:pos="8510" w:val="left"/>
        </w:tabs>
        <w:bidi w:val="0"/>
        <w:spacing w:before="0" w:after="0" w:line="240" w:lineRule="auto"/>
        <w:ind w:left="0" w:right="0" w:firstLine="0"/>
        <w:jc w:val="both"/>
      </w:pPr>
      <w:r>
        <w:rPr>
          <w:rStyle w:val="CharStyle16"/>
        </w:rPr>
        <w:t>Дата оглашения решения: 12 марта 2026 года</w:t>
        <w:tab/>
        <w:t>город Иваново</w:t>
      </w:r>
    </w:p>
    <w:p>
      <w:pPr>
        <w:pStyle w:val="Style15"/>
        <w:keepNext w:val="0"/>
        <w:keepLines w:val="0"/>
        <w:widowControl w:val="0"/>
        <w:shd w:val="clear" w:color="auto" w:fill="auto"/>
        <w:bidi w:val="0"/>
        <w:spacing w:before="0" w:after="260" w:line="240" w:lineRule="auto"/>
        <w:ind w:left="0" w:right="0" w:firstLine="0"/>
        <w:jc w:val="both"/>
      </w:pPr>
      <w:r>
        <w:rPr>
          <w:rStyle w:val="CharStyle16"/>
        </w:rPr>
        <w:t>Дата изготовления решения: 17 марта 2026 года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председателя Комиссии: Чугуновой Е.Е. – ВрИО руководителя управления;</w:t>
      </w:r>
    </w:p>
    <w:p>
      <w:pPr>
        <w:pStyle w:val="Style15"/>
        <w:keepNext w:val="0"/>
        <w:keepLines w:val="0"/>
        <w:widowControl w:val="0"/>
        <w:shd w:val="clear" w:color="auto" w:fill="auto"/>
        <w:bidi w:val="0"/>
        <w:spacing w:before="0" w:after="260" w:line="240" w:lineRule="auto"/>
        <w:ind w:left="0" w:right="0" w:firstLine="740"/>
        <w:jc w:val="both"/>
      </w:pPr>
      <w:r>
        <w:rPr>
          <w:rStyle w:val="CharStyle16"/>
        </w:rPr>
        <w:t>членов Комиссии: Крутовой М.В. – начальника отдела контроля в сфере закупок, Жданкиной Ю.К. – главного специалиста-эксперта отдела контроля в сфере закупок,</w:t>
      </w:r>
    </w:p>
    <w:p>
      <w:pPr>
        <w:pStyle w:val="Style15"/>
        <w:keepNext w:val="0"/>
        <w:keepLines w:val="0"/>
        <w:widowControl w:val="0"/>
        <w:shd w:val="clear" w:color="auto" w:fill="auto"/>
        <w:bidi w:val="0"/>
        <w:spacing w:before="0" w:after="0" w:line="240" w:lineRule="auto"/>
        <w:ind w:left="0" w:right="0" w:firstLine="740"/>
        <w:jc w:val="both"/>
      </w:pPr>
      <w:r>
        <w:rPr>
          <w:rStyle w:val="CharStyle16"/>
        </w:rPr>
        <w:t>заседание проведено в режиме видеоконференцсвязи при участии представителей:</w:t>
      </w:r>
    </w:p>
    <w:p>
      <w:pPr>
        <w:pStyle w:val="Style15"/>
        <w:keepNext w:val="0"/>
        <w:keepLines w:val="0"/>
        <w:widowControl w:val="0"/>
        <w:numPr>
          <w:ilvl w:val="0"/>
          <w:numId w:val="1"/>
        </w:numPr>
        <w:shd w:val="clear" w:color="auto" w:fill="auto"/>
        <w:tabs>
          <w:tab w:pos="1069" w:val="left"/>
        </w:tabs>
        <w:bidi w:val="0"/>
        <w:spacing w:before="0" w:after="0" w:line="240" w:lineRule="auto"/>
        <w:ind w:left="0" w:right="0" w:firstLine="740"/>
        <w:jc w:val="both"/>
      </w:pPr>
      <w:r>
        <w:rPr>
          <w:rStyle w:val="CharStyle16"/>
        </w:rPr>
        <w:t>ФГБОУ ВО «Ивановский государственный университет им. В.И. Ленина» (далее – Заказчик): Павлычевой Марины Евгеньевны (доверенность от 10.03.2026), Румянцевой Ксении Николаевны (доверенность от 10.03.2026), Тихова Максима Евгеньевича (доверенность от 10.03.2026),</w:t>
      </w:r>
    </w:p>
    <w:p>
      <w:pPr>
        <w:pStyle w:val="Style15"/>
        <w:keepNext w:val="0"/>
        <w:keepLines w:val="0"/>
        <w:widowControl w:val="0"/>
        <w:numPr>
          <w:ilvl w:val="0"/>
          <w:numId w:val="1"/>
        </w:numPr>
        <w:shd w:val="clear" w:color="auto" w:fill="auto"/>
        <w:tabs>
          <w:tab w:pos="992" w:val="left"/>
        </w:tabs>
        <w:bidi w:val="0"/>
        <w:spacing w:before="0" w:after="0" w:line="240" w:lineRule="auto"/>
        <w:ind w:left="0" w:right="0" w:firstLine="740"/>
        <w:jc w:val="both"/>
      </w:pPr>
      <w:r>
        <w:rPr>
          <w:rStyle w:val="CharStyle16"/>
        </w:rPr>
        <w:t>ООО «СИНАПС» (далее – Заявитель): Павлова Михаила Ивановича (сведения из Единого государственного реестра юридических лиц), Нечаевой Нины Владимировны (доверенность от 12.03.2026), Васюткинского Владислава Михайловича (доверенность от 12.03.2026),</w:t>
      </w:r>
    </w:p>
    <w:p>
      <w:pPr>
        <w:pStyle w:val="Style15"/>
        <w:keepNext w:val="0"/>
        <w:keepLines w:val="0"/>
        <w:widowControl w:val="0"/>
        <w:shd w:val="clear" w:color="auto" w:fill="auto"/>
        <w:bidi w:val="0"/>
        <w:spacing w:before="0" w:after="480" w:line="240" w:lineRule="auto"/>
        <w:ind w:left="0" w:right="0" w:firstLine="740"/>
        <w:jc w:val="both"/>
      </w:pPr>
      <w:r>
        <w:rPr>
          <w:rStyle w:val="CharStyle16"/>
        </w:rPr>
        <w:t>рассмотрев жалобу ООО «СИНАПС» на действия ФГБОУ ВО «Ивановский государственный университет им. В.И. Ленина» при проведении запроса котировок в электронной форме на поставку ультразвукового детектора для нужд ИГЭУ (извещение №0333100006726000037) и в результате осуществления внеплановой проверки в соответствии с п. 1 ч. 15 ст. 99 Федерального закона от 05.04.2013 №44-ФЗ «О контрактной</w:t>
      </w:r>
    </w:p>
    <w:p>
      <w:pPr>
        <w:pStyle w:val="Style22"/>
        <w:keepNext/>
        <w:keepLines/>
        <w:widowControl w:val="0"/>
        <w:shd w:val="clear" w:color="auto" w:fill="auto"/>
        <w:bidi w:val="0"/>
        <w:spacing w:before="0" w:line="240" w:lineRule="auto"/>
        <w:ind w:left="0" w:right="0" w:firstLine="0"/>
        <w:jc w:val="both"/>
      </w:pPr>
      <w:bookmarkStart w:id="2" w:name="bookmark2"/>
      <w:r>
        <w:rPr>
          <w:rStyle w:val="CharStyle23"/>
        </w:rPr>
        <w:t xml:space="preserve">num </w:t>
      </w:r>
      <w:r>
        <w:rPr>
          <w:rStyle w:val="CharStyle23"/>
          <w:lang w:val="ru-RU" w:eastAsia="ru-RU"/>
        </w:rPr>
        <w:t xml:space="preserve">II ни </w:t>
      </w:r>
      <w:r>
        <w:rPr>
          <w:rStyle w:val="CharStyle23"/>
        </w:rPr>
        <w:t>in mini</w:t>
      </w:r>
      <w:bookmarkEnd w:id="2"/>
    </w:p>
    <w:p>
      <w:pPr>
        <w:pStyle w:val="Style15"/>
        <w:keepNext w:val="0"/>
        <w:keepLines w:val="0"/>
        <w:widowControl w:val="0"/>
        <w:shd w:val="clear" w:color="auto" w:fill="auto"/>
        <w:bidi w:val="0"/>
        <w:spacing w:before="0" w:after="260" w:line="240" w:lineRule="auto"/>
        <w:ind w:left="0" w:right="0" w:firstLine="0"/>
        <w:jc w:val="both"/>
      </w:pPr>
      <w:r>
        <w:rPr>
          <w:rStyle w:val="CharStyle16"/>
        </w:rPr>
        <w:t xml:space="preserve">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Закон о контрактной системе),</w:t>
      </w:r>
    </w:p>
    <w:p>
      <w:pPr>
        <w:pStyle w:val="Style15"/>
        <w:keepNext w:val="0"/>
        <w:keepLines w:val="0"/>
        <w:widowControl w:val="0"/>
        <w:shd w:val="clear" w:color="auto" w:fill="auto"/>
        <w:bidi w:val="0"/>
        <w:spacing w:before="0" w:after="0"/>
        <w:ind w:left="0" w:right="0" w:firstLine="0"/>
        <w:jc w:val="center"/>
      </w:pPr>
      <w:r>
        <w:rPr>
          <w:rStyle w:val="CharStyle16"/>
        </w:rPr>
        <w:t>УСТАНОВИЛА:</w:t>
      </w:r>
    </w:p>
    <w:p>
      <w:pPr>
        <w:pStyle w:val="Style15"/>
        <w:keepNext w:val="0"/>
        <w:keepLines w:val="0"/>
        <w:widowControl w:val="0"/>
        <w:shd w:val="clear" w:color="auto" w:fill="auto"/>
        <w:bidi w:val="0"/>
        <w:spacing w:before="0" w:after="0"/>
        <w:ind w:left="0" w:right="0" w:firstLine="800"/>
        <w:jc w:val="both"/>
      </w:pPr>
      <w:r>
        <w:rPr>
          <w:rStyle w:val="CharStyle16"/>
          <w:lang w:val="en-US" w:eastAsia="en-US"/>
        </w:rPr>
        <w:t xml:space="preserve">06.03.2026 </w:t>
      </w:r>
      <w:r>
        <w:rPr>
          <w:rStyle w:val="CharStyle16"/>
        </w:rPr>
        <w:t xml:space="preserve">в Управление Федеральной антимонопольной службы по Ивановской области </w:t>
      </w:r>
      <w:r>
        <w:rPr>
          <w:rStyle w:val="CharStyle16"/>
          <w:lang w:val="en-US" w:eastAsia="en-US"/>
        </w:rPr>
        <w:t xml:space="preserve">(04.03.2026 </w:t>
      </w:r>
      <w:r>
        <w:rPr>
          <w:rStyle w:val="CharStyle16"/>
        </w:rPr>
        <w:t xml:space="preserve">поступила в ФАС России) поступила жалоба ООО «СИНАПС» на действия ФГБОУ ВО «Ивановский государственный университет им. В.И. Ленина» при проведении запроса котировок в электронной форме на поставку ультразвукового детектора для нужд ИГЭУ (извещение </w:t>
      </w:r>
      <w:r>
        <w:rPr>
          <w:rStyle w:val="CharStyle16"/>
          <w:lang w:val="en-US" w:eastAsia="en-US"/>
        </w:rPr>
        <w:t>№0333100006726000037).</w:t>
      </w:r>
    </w:p>
    <w:p>
      <w:pPr>
        <w:pStyle w:val="Style15"/>
        <w:keepNext w:val="0"/>
        <w:keepLines w:val="0"/>
        <w:widowControl w:val="0"/>
        <w:shd w:val="clear" w:color="auto" w:fill="auto"/>
        <w:bidi w:val="0"/>
        <w:spacing w:before="0" w:after="0"/>
        <w:ind w:left="0" w:right="0" w:firstLine="800"/>
        <w:jc w:val="both"/>
      </w:pPr>
      <w:r>
        <w:rPr>
          <w:rStyle w:val="CharStyle16"/>
        </w:rPr>
        <w:t xml:space="preserve">Согласно жалобе Заявителя, Заказчиком описание объекта закупки составлено так, что к установленным характеристикам подходит товар единственного производителя, а именно </w:t>
      </w:r>
      <w:r>
        <w:rPr>
          <w:rStyle w:val="CharStyle16"/>
          <w:lang w:val="en-US" w:eastAsia="en-US"/>
        </w:rPr>
        <w:t>Crysound CRY8125.</w:t>
      </w:r>
    </w:p>
    <w:p>
      <w:pPr>
        <w:pStyle w:val="Style15"/>
        <w:keepNext w:val="0"/>
        <w:keepLines w:val="0"/>
        <w:widowControl w:val="0"/>
        <w:shd w:val="clear" w:color="auto" w:fill="auto"/>
        <w:bidi w:val="0"/>
        <w:spacing w:before="0" w:after="0"/>
        <w:ind w:left="0" w:right="0" w:firstLine="800"/>
        <w:jc w:val="both"/>
      </w:pPr>
      <w:r>
        <w:rPr>
          <w:rStyle w:val="CharStyle16"/>
        </w:rPr>
        <w:t>Согласно письменным возражениям ФГБОУ ВО «Ивановский государственный университет им. В.И. Ленина», Заказчик не согласен с доводом жалобы.</w:t>
      </w:r>
    </w:p>
    <w:p>
      <w:pPr>
        <w:pStyle w:val="Style15"/>
        <w:keepNext w:val="0"/>
        <w:keepLines w:val="0"/>
        <w:widowControl w:val="0"/>
        <w:shd w:val="clear" w:color="auto" w:fill="auto"/>
        <w:bidi w:val="0"/>
        <w:spacing w:before="0" w:after="0"/>
        <w:ind w:left="0" w:right="0" w:firstLine="800"/>
        <w:jc w:val="both"/>
      </w:pPr>
      <w:r>
        <w:rPr>
          <w:rStyle w:val="CharStyle16"/>
        </w:rPr>
        <w:t xml:space="preserve">Рассмотрев представленные ООО «СИНАПС», ФГБОУ ВО «Ивановский государственный университет им. В.И. Ленина», документы, заслушав представителей лиц, участвующих в рассмотрении жалобы, проведя внеплановую проверку в соответствии с ч. </w:t>
      </w:r>
      <w:r>
        <w:rPr>
          <w:rStyle w:val="CharStyle16"/>
          <w:lang w:val="en-US" w:eastAsia="en-US"/>
        </w:rPr>
        <w:t xml:space="preserve">15 </w:t>
      </w:r>
      <w:r>
        <w:rPr>
          <w:rStyle w:val="CharStyle16"/>
        </w:rPr>
        <w:t xml:space="preserve">ст. </w:t>
      </w:r>
      <w:r>
        <w:rPr>
          <w:rStyle w:val="CharStyle16"/>
          <w:lang w:val="en-US" w:eastAsia="en-US"/>
        </w:rPr>
        <w:t xml:space="preserve">99 </w:t>
      </w:r>
      <w:r>
        <w:rPr>
          <w:rStyle w:val="CharStyle16"/>
        </w:rPr>
        <w:t>Закона о контрактной системе, Комиссия Ивановского УФАС России установила следующее.</w:t>
      </w:r>
    </w:p>
    <w:p>
      <w:pPr>
        <w:pStyle w:val="Style15"/>
        <w:keepNext w:val="0"/>
        <w:keepLines w:val="0"/>
        <w:widowControl w:val="0"/>
        <w:shd w:val="clear" w:color="auto" w:fill="auto"/>
        <w:bidi w:val="0"/>
        <w:spacing w:before="0" w:after="0"/>
        <w:ind w:left="0" w:right="0" w:firstLine="800"/>
        <w:jc w:val="both"/>
      </w:pPr>
      <w:r>
        <w:rPr>
          <w:rStyle w:val="CharStyle16"/>
          <w:lang w:val="en-US" w:eastAsia="en-US"/>
        </w:rPr>
        <w:t xml:space="preserve">27.02.2026 </w:t>
      </w:r>
      <w:r>
        <w:rPr>
          <w:rStyle w:val="CharStyle16"/>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6"/>
          <w:lang w:val="en-US" w:eastAsia="en-US"/>
        </w:rPr>
        <w:t>(</w:t>
      </w:r>
      <w:r>
        <w:fldChar w:fldCharType="begin"/>
      </w:r>
      <w:r>
        <w:rPr/>
        <w:instrText> HYPERLINK "http://www.zakupki.gov.ru" </w:instrText>
      </w:r>
      <w:r>
        <w:fldChar w:fldCharType="separate"/>
      </w:r>
      <w:r>
        <w:rPr>
          <w:rStyle w:val="CharStyle16"/>
          <w:lang w:val="en-US" w:eastAsia="en-US"/>
        </w:rPr>
        <w:t>www.zakupki.gov.ru</w:t>
      </w:r>
      <w:r>
        <w:fldChar w:fldCharType="end"/>
      </w:r>
      <w:r>
        <w:rPr>
          <w:rStyle w:val="CharStyle16"/>
          <w:lang w:val="en-US" w:eastAsia="en-US"/>
        </w:rPr>
        <w:t xml:space="preserve">) </w:t>
      </w:r>
      <w:r>
        <w:rPr>
          <w:rStyle w:val="CharStyle16"/>
        </w:rPr>
        <w:t xml:space="preserve">(далее </w:t>
      </w:r>
      <w:r>
        <w:rPr>
          <w:rStyle w:val="CharStyle16"/>
          <w:lang w:val="en-US" w:eastAsia="en-US"/>
        </w:rPr>
        <w:t xml:space="preserve">– </w:t>
      </w:r>
      <w:r>
        <w:rPr>
          <w:rStyle w:val="CharStyle16"/>
        </w:rPr>
        <w:t xml:space="preserve">официальный сайт) было размещено извещение </w:t>
      </w:r>
      <w:r>
        <w:rPr>
          <w:rStyle w:val="CharStyle16"/>
          <w:lang w:val="en-US" w:eastAsia="en-US"/>
        </w:rPr>
        <w:t xml:space="preserve">0333100006726000037 </w:t>
      </w:r>
      <w:r>
        <w:rPr>
          <w:rStyle w:val="CharStyle16"/>
        </w:rPr>
        <w:t xml:space="preserve">о проведении запроса котировок в электронной форме на поставку ультразвукового детектора для нужд ИГЭУ. </w:t>
      </w:r>
      <w:r>
        <w:rPr>
          <w:rStyle w:val="CharStyle16"/>
          <w:lang w:val="en-US" w:eastAsia="en-US"/>
        </w:rPr>
        <w:t xml:space="preserve">27.02.2026 </w:t>
      </w:r>
      <w:r>
        <w:rPr>
          <w:rStyle w:val="CharStyle16"/>
        </w:rPr>
        <w:t>в извещение были внесены изменения.</w:t>
      </w:r>
    </w:p>
    <w:p>
      <w:pPr>
        <w:pStyle w:val="Style15"/>
        <w:keepNext w:val="0"/>
        <w:keepLines w:val="0"/>
        <w:widowControl w:val="0"/>
        <w:shd w:val="clear" w:color="auto" w:fill="auto"/>
        <w:bidi w:val="0"/>
        <w:spacing w:before="0" w:after="0"/>
        <w:ind w:left="0" w:right="0" w:firstLine="800"/>
        <w:jc w:val="both"/>
      </w:pPr>
      <w:r>
        <w:rPr>
          <w:rStyle w:val="CharStyle16"/>
        </w:rPr>
        <w:t>В соответствии с извещением об осуществлении закупки, протоколом, составленным при определении поставщика (подрядчика, исполнителя), размещенными на официальном сайте:</w:t>
      </w:r>
    </w:p>
    <w:p>
      <w:pPr>
        <w:pStyle w:val="Style15"/>
        <w:keepNext w:val="0"/>
        <w:keepLines w:val="0"/>
        <w:widowControl w:val="0"/>
        <w:numPr>
          <w:ilvl w:val="0"/>
          <w:numId w:val="1"/>
        </w:numPr>
        <w:shd w:val="clear" w:color="auto" w:fill="auto"/>
        <w:tabs>
          <w:tab w:pos="1746" w:val="left"/>
        </w:tabs>
        <w:bidi w:val="0"/>
        <w:spacing w:before="0" w:after="0"/>
        <w:ind w:left="0" w:right="0" w:firstLine="800"/>
        <w:jc w:val="both"/>
      </w:pPr>
      <w:r>
        <w:rPr>
          <w:rStyle w:val="CharStyle16"/>
        </w:rPr>
        <w:t xml:space="preserve">начальная (максимальная) цена контракта </w:t>
      </w:r>
      <w:r>
        <w:rPr>
          <w:rStyle w:val="CharStyle16"/>
          <w:lang w:val="en-US" w:eastAsia="en-US"/>
        </w:rPr>
        <w:t xml:space="preserve">– 2 700 000,00 </w:t>
      </w:r>
      <w:r>
        <w:rPr>
          <w:rStyle w:val="CharStyle16"/>
        </w:rPr>
        <w:t>руб.;</w:t>
      </w:r>
    </w:p>
    <w:p>
      <w:pPr>
        <w:pStyle w:val="Style15"/>
        <w:keepNext w:val="0"/>
        <w:keepLines w:val="0"/>
        <w:widowControl w:val="0"/>
        <w:numPr>
          <w:ilvl w:val="0"/>
          <w:numId w:val="1"/>
        </w:numPr>
        <w:shd w:val="clear" w:color="auto" w:fill="auto"/>
        <w:tabs>
          <w:tab w:pos="1746" w:val="left"/>
        </w:tabs>
        <w:bidi w:val="0"/>
        <w:spacing w:before="0" w:after="0"/>
        <w:ind w:left="0" w:right="0" w:firstLine="800"/>
        <w:jc w:val="both"/>
      </w:pPr>
      <w:r>
        <w:rPr>
          <w:rStyle w:val="CharStyle16"/>
        </w:rPr>
        <w:t xml:space="preserve">дата и время окончания срока подачи заявок </w:t>
      </w:r>
      <w:r>
        <w:rPr>
          <w:rStyle w:val="CharStyle16"/>
          <w:lang w:val="en-US" w:eastAsia="en-US"/>
        </w:rPr>
        <w:t>– 06.03.2026 08:30;</w:t>
      </w:r>
    </w:p>
    <w:p>
      <w:pPr>
        <w:pStyle w:val="Style15"/>
        <w:keepNext w:val="0"/>
        <w:keepLines w:val="0"/>
        <w:widowControl w:val="0"/>
        <w:numPr>
          <w:ilvl w:val="0"/>
          <w:numId w:val="1"/>
        </w:numPr>
        <w:shd w:val="clear" w:color="auto" w:fill="auto"/>
        <w:tabs>
          <w:tab w:pos="964" w:val="left"/>
        </w:tabs>
        <w:bidi w:val="0"/>
        <w:spacing w:before="0" w:after="0"/>
        <w:ind w:left="0" w:right="0" w:firstLine="80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10.03.2026;</w:t>
      </w:r>
    </w:p>
    <w:p>
      <w:pPr>
        <w:pStyle w:val="Style15"/>
        <w:keepNext w:val="0"/>
        <w:keepLines w:val="0"/>
        <w:widowControl w:val="0"/>
        <w:numPr>
          <w:ilvl w:val="0"/>
          <w:numId w:val="1"/>
        </w:numPr>
        <w:shd w:val="clear" w:color="auto" w:fill="auto"/>
        <w:tabs>
          <w:tab w:pos="969" w:val="left"/>
        </w:tabs>
        <w:bidi w:val="0"/>
        <w:spacing w:before="0" w:after="0"/>
        <w:ind w:left="0" w:right="0" w:firstLine="80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06.03.2026 </w:t>
      </w:r>
      <w:r>
        <w:rPr>
          <w:rStyle w:val="CharStyle16"/>
        </w:rPr>
        <w:t>№ИЗК1 на участие в закупке была подана единственная заявка участника закупки, признанная соответствующей Закону о контрактной системе и извещению о проведении закупки. Запрос котировок в электронной форме признан несостоявшимся.</w:t>
      </w:r>
    </w:p>
    <w:p>
      <w:pPr>
        <w:pStyle w:val="Style15"/>
        <w:keepNext w:val="0"/>
        <w:keepLines w:val="0"/>
        <w:widowControl w:val="0"/>
        <w:shd w:val="clear" w:color="auto" w:fill="auto"/>
        <w:bidi w:val="0"/>
        <w:spacing w:before="0" w:after="0"/>
        <w:ind w:left="0" w:right="0" w:firstLine="800"/>
        <w:jc w:val="both"/>
      </w:pPr>
      <w:r>
        <w:rPr>
          <w:rStyle w:val="CharStyle16"/>
        </w:rPr>
        <w:t xml:space="preserve">Частью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ind w:left="0" w:right="0" w:firstLine="800"/>
        <w:jc w:val="both"/>
      </w:pPr>
      <w:r>
        <w:rPr>
          <w:rStyle w:val="CharStyle16"/>
        </w:rPr>
        <w:t xml:space="preserve">Согласно части </w:t>
      </w:r>
      <w:r>
        <w:rPr>
          <w:rStyle w:val="CharStyle16"/>
          <w:lang w:val="en-US" w:eastAsia="en-US"/>
        </w:rPr>
        <w:t xml:space="preserve">2 </w:t>
      </w:r>
      <w:r>
        <w:rPr>
          <w:rStyle w:val="CharStyle16"/>
        </w:rPr>
        <w:t xml:space="preserve">статьи </w:t>
      </w:r>
      <w:r>
        <w:rPr>
          <w:rStyle w:val="CharStyle16"/>
          <w:lang w:val="en-US" w:eastAsia="en-US"/>
        </w:rPr>
        <w:t xml:space="preserve">8 </w:t>
      </w:r>
      <w:r>
        <w:rPr>
          <w:rStyle w:val="CharStyle16"/>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w:t>
      </w:r>
    </w:p>
    <w:p>
      <w:pPr>
        <w:pStyle w:val="Style15"/>
        <w:keepNext w:val="0"/>
        <w:keepLines w:val="0"/>
        <w:widowControl w:val="0"/>
        <w:shd w:val="clear" w:color="auto" w:fill="auto"/>
        <w:bidi w:val="0"/>
        <w:spacing w:before="0" w:after="0"/>
        <w:ind w:left="0" w:right="0" w:firstLine="0"/>
        <w:jc w:val="both"/>
      </w:pPr>
      <w:r>
        <w:rPr>
          <w:rStyle w:val="CharStyle16"/>
        </w:rPr>
        <w:t>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ind w:left="0" w:right="0" w:firstLine="80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ind w:left="0" w:right="0" w:firstLine="800"/>
        <w:jc w:val="both"/>
      </w:pP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ind w:left="0" w:right="0" w:firstLine="800"/>
        <w:jc w:val="both"/>
      </w:pPr>
      <w:r>
        <w:rPr>
          <w:rStyle w:val="CharStyle16"/>
        </w:rPr>
        <w:t xml:space="preserve">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о контрактной системе установлено, что документация о закупке в соответствии с требованиями, указанными в 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должна содержать показатели, позволяющие определить соответствие закупаемых товаров, работ, услуг установленным заказчиком требованиям.</w:t>
      </w:r>
    </w:p>
    <w:p>
      <w:pPr>
        <w:pStyle w:val="Style24"/>
        <w:keepNext w:val="0"/>
        <w:keepLines w:val="0"/>
        <w:widowControl w:val="0"/>
        <w:shd w:val="clear" w:color="auto" w:fill="auto"/>
        <w:bidi w:val="0"/>
        <w:spacing w:before="0" w:after="0"/>
        <w:ind w:left="0" w:right="0" w:firstLine="0"/>
        <w:jc w:val="both"/>
      </w:pPr>
      <w:r>
        <w:rPr>
          <w:rStyle w:val="CharStyle25"/>
        </w:rPr>
        <w:t>Согласно описанию объекта закупки, Заказчиком установлены следующие характеристики к закупаемому товару:</w:t>
      </w:r>
    </w:p>
    <w:tbl>
      <w:tblPr>
        <w:tblOverlap w:val="never"/>
        <w:jc w:val="center"/>
        <w:tblLayout w:type="fixed"/>
      </w:tblPr>
      <w:tblGrid>
        <w:gridCol w:w="5722"/>
        <w:gridCol w:w="4968"/>
      </w:tblGrid>
      <w:tr>
        <w:trPr>
          <w:trHeight w:val="70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rStyle w:val="CharStyle27"/>
                <w:b/>
                <w:bCs/>
                <w:sz w:val="20"/>
                <w:szCs w:val="20"/>
              </w:rPr>
              <w:t>Наименование характеристики товара, ед. измерения характеристик</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rStyle w:val="CharStyle27"/>
                <w:b/>
                <w:bCs/>
                <w:sz w:val="20"/>
                <w:szCs w:val="20"/>
              </w:rPr>
              <w:t>Значение характеристики товара</w:t>
            </w:r>
          </w:p>
        </w:tc>
      </w:tr>
      <w:tr>
        <w:trPr>
          <w:trHeight w:val="3005"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Комплектация</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Ультразвуковой детектор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Аккумулятор </w:t>
            </w:r>
            <w:r>
              <w:rPr>
                <w:rStyle w:val="CharStyle27"/>
                <w:sz w:val="20"/>
                <w:szCs w:val="20"/>
                <w:lang w:val="en-US" w:eastAsia="en-US"/>
              </w:rPr>
              <w:t xml:space="preserve">– 2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Настольное зарядное устройство для аккумулятора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Карта </w:t>
            </w:r>
            <w:r>
              <w:rPr>
                <w:rStyle w:val="CharStyle27"/>
                <w:sz w:val="20"/>
                <w:szCs w:val="20"/>
                <w:lang w:val="en-US" w:eastAsia="en-US"/>
              </w:rPr>
              <w:t xml:space="preserve">памяти–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Нашейный ремень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Кабель </w:t>
            </w:r>
            <w:r>
              <w:rPr>
                <w:rStyle w:val="CharStyle27"/>
                <w:sz w:val="20"/>
                <w:szCs w:val="20"/>
                <w:lang w:val="en-US" w:eastAsia="en-US"/>
              </w:rPr>
              <w:t xml:space="preserve">USB Type-C –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Блок питания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Жесткий транспортировочный кейс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USB </w:t>
            </w:r>
            <w:r>
              <w:rPr>
                <w:rStyle w:val="CharStyle27"/>
                <w:sz w:val="20"/>
                <w:szCs w:val="20"/>
              </w:rPr>
              <w:t xml:space="preserve">флешка с программным обеспечением для подготовки отчетов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Руководство по эксплуатации на русском языке </w:t>
            </w:r>
            <w:r>
              <w:rPr>
                <w:rStyle w:val="CharStyle27"/>
                <w:sz w:val="20"/>
                <w:szCs w:val="20"/>
                <w:lang w:val="en-US" w:eastAsia="en-US"/>
              </w:rPr>
              <w:t xml:space="preserve">– 1 </w:t>
            </w:r>
            <w:r>
              <w:rPr>
                <w:rStyle w:val="CharStyle27"/>
                <w:sz w:val="20"/>
                <w:szCs w:val="20"/>
              </w:rPr>
              <w:t>шт.;</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Гарантийный сертификат на </w:t>
            </w:r>
            <w:r>
              <w:rPr>
                <w:rStyle w:val="CharStyle27"/>
                <w:sz w:val="20"/>
                <w:szCs w:val="20"/>
                <w:lang w:val="en-US" w:eastAsia="en-US"/>
              </w:rPr>
              <w:t xml:space="preserve">24 </w:t>
            </w:r>
            <w:r>
              <w:rPr>
                <w:rStyle w:val="CharStyle27"/>
                <w:sz w:val="20"/>
                <w:szCs w:val="20"/>
              </w:rPr>
              <w:t xml:space="preserve">месяца </w:t>
            </w:r>
            <w:r>
              <w:rPr>
                <w:rStyle w:val="CharStyle27"/>
                <w:sz w:val="20"/>
                <w:szCs w:val="20"/>
                <w:lang w:val="en-US" w:eastAsia="en-US"/>
              </w:rPr>
              <w:t xml:space="preserve">– 1 </w:t>
            </w:r>
            <w:r>
              <w:rPr>
                <w:rStyle w:val="CharStyle27"/>
                <w:sz w:val="20"/>
                <w:szCs w:val="20"/>
              </w:rPr>
              <w:t>шт</w:t>
            </w:r>
          </w:p>
        </w:tc>
      </w:tr>
      <w:tr>
        <w:trPr>
          <w:trHeight w:val="25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Количество </w:t>
            </w:r>
            <w:r>
              <w:rPr>
                <w:rStyle w:val="CharStyle27"/>
                <w:sz w:val="20"/>
                <w:szCs w:val="20"/>
                <w:lang w:val="en-US" w:eastAsia="en-US"/>
              </w:rPr>
              <w:t xml:space="preserve">MEMS </w:t>
            </w:r>
            <w:r>
              <w:rPr>
                <w:rStyle w:val="CharStyle27"/>
                <w:sz w:val="20"/>
                <w:szCs w:val="20"/>
              </w:rPr>
              <w:t>микрофонов (микрофонная решетка)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≥208</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Диапазон частот, кГц</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 </w:t>
            </w:r>
            <w:r>
              <w:rPr>
                <w:rStyle w:val="CharStyle27"/>
                <w:sz w:val="20"/>
                <w:szCs w:val="20"/>
                <w:lang w:val="en-US" w:eastAsia="en-US"/>
              </w:rPr>
              <w:t xml:space="preserve">2 </w:t>
            </w:r>
            <w:r>
              <w:rPr>
                <w:rStyle w:val="CharStyle27"/>
                <w:sz w:val="20"/>
                <w:szCs w:val="20"/>
              </w:rPr>
              <w:t xml:space="preserve">до </w:t>
            </w:r>
            <w:r>
              <w:rPr>
                <w:rStyle w:val="CharStyle27"/>
                <w:sz w:val="20"/>
                <w:szCs w:val="20"/>
                <w:lang w:val="en-US" w:eastAsia="en-US"/>
              </w:rPr>
              <w:t>100</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Диапазон измерений, дБ</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 </w:t>
            </w:r>
            <w:r>
              <w:rPr>
                <w:rStyle w:val="CharStyle27"/>
                <w:sz w:val="20"/>
                <w:szCs w:val="20"/>
                <w:lang w:val="en-US" w:eastAsia="en-US"/>
              </w:rPr>
              <w:t xml:space="preserve">28 </w:t>
            </w:r>
            <w:r>
              <w:rPr>
                <w:rStyle w:val="CharStyle27"/>
                <w:sz w:val="20"/>
                <w:szCs w:val="20"/>
              </w:rPr>
              <w:t xml:space="preserve">до </w:t>
            </w:r>
            <w:r>
              <w:rPr>
                <w:rStyle w:val="CharStyle27"/>
                <w:sz w:val="20"/>
                <w:szCs w:val="20"/>
                <w:lang w:val="en-US" w:eastAsia="en-US"/>
              </w:rPr>
              <w:t>132</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Дальность обнаружения, м</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 </w:t>
            </w:r>
            <w:r>
              <w:rPr>
                <w:rStyle w:val="CharStyle27"/>
                <w:sz w:val="20"/>
                <w:szCs w:val="20"/>
                <w:lang w:val="en-US" w:eastAsia="en-US"/>
              </w:rPr>
              <w:t xml:space="preserve">0.5 </w:t>
            </w:r>
            <w:r>
              <w:rPr>
                <w:rStyle w:val="CharStyle27"/>
                <w:sz w:val="20"/>
                <w:szCs w:val="20"/>
              </w:rPr>
              <w:t xml:space="preserve">до </w:t>
            </w:r>
            <w:r>
              <w:rPr>
                <w:rStyle w:val="CharStyle27"/>
                <w:sz w:val="20"/>
                <w:szCs w:val="20"/>
                <w:lang w:val="en-US" w:eastAsia="en-US"/>
              </w:rPr>
              <w:t>200</w:t>
            </w:r>
          </w:p>
        </w:tc>
      </w:tr>
      <w:tr>
        <w:trPr>
          <w:trHeight w:val="25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Угол обзора камеры, </w:t>
            </w:r>
            <w:r>
              <w:rPr>
                <w:rStyle w:val="CharStyle27"/>
                <w:sz w:val="20"/>
                <w:szCs w:val="20"/>
                <w:lang w:val="en-US" w:eastAsia="en-US"/>
              </w:rPr>
              <w: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66</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Разрешение, М пиксель</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≥13</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Фокусное расстояние, мм</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≥4,3</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Цифровой зум</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6-кратный</w:t>
            </w:r>
          </w:p>
        </w:tc>
      </w:tr>
      <w:tr>
        <w:trPr>
          <w:trHeight w:val="24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Светодиодная подсветка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4 LED</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Разрешение</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1920×1200</w:t>
            </w:r>
          </w:p>
        </w:tc>
      </w:tr>
      <w:tr>
        <w:trPr>
          <w:trHeight w:val="25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Размер сенсорного экрана, дюйм</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≥8</w:t>
            </w:r>
          </w:p>
        </w:tc>
      </w:tr>
      <w:tr>
        <w:trPr>
          <w:trHeight w:val="245" w:hRule="exact"/>
        </w:trPr>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Яркость, нит</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≥700</w:t>
            </w:r>
          </w:p>
        </w:tc>
      </w:tr>
    </w:tbl>
    <w:p>
      <w:pPr>
        <w:widowControl w:val="0"/>
        <w:spacing w:line="1" w:lineRule="exact"/>
      </w:pPr>
      <w:r>
        <w:br w:type="page"/>
      </w:r>
    </w:p>
    <w:tbl>
      <w:tblPr>
        <w:tblOverlap w:val="never"/>
        <w:jc w:val="center"/>
        <w:tblLayout w:type="fixed"/>
      </w:tblPr>
      <w:tblGrid>
        <w:gridCol w:w="5722"/>
        <w:gridCol w:w="4968"/>
      </w:tblGrid>
      <w:tr>
        <w:trPr>
          <w:trHeight w:val="25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Авторегулировка яркости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562"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USB-C 1 </w:t>
            </w:r>
            <w:r>
              <w:rPr>
                <w:rStyle w:val="CharStyle27"/>
                <w:sz w:val="20"/>
                <w:szCs w:val="20"/>
              </w:rPr>
              <w:t>для зарядки и вывода изображения</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USB 3.0</w:t>
            </w:r>
          </w:p>
        </w:tc>
      </w:tr>
      <w:tr>
        <w:trPr>
          <w:trHeight w:val="648"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USB 2.0, </w:t>
            </w:r>
            <w:r>
              <w:rPr>
                <w:rStyle w:val="CharStyle27"/>
                <w:sz w:val="20"/>
                <w:szCs w:val="20"/>
              </w:rPr>
              <w:t>шт.</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≥1</w:t>
            </w:r>
          </w:p>
        </w:tc>
      </w:tr>
      <w:tr>
        <w:trPr>
          <w:trHeight w:val="624"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Возможность подключения проводных наушников</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4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Аккумуляторы с индикацией уровня заряда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Емкость аккумулятора, мАч</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≥6600</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Слот для </w:t>
            </w:r>
            <w:r>
              <w:rPr>
                <w:rStyle w:val="CharStyle27"/>
                <w:sz w:val="20"/>
                <w:szCs w:val="20"/>
                <w:lang w:val="en-US" w:eastAsia="en-US"/>
              </w:rPr>
              <w:t>TF-карты</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Внешний накопитель</w:t>
            </w:r>
          </w:p>
        </w:tc>
      </w:tr>
      <w:tr>
        <w:trPr>
          <w:trHeight w:val="47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Взрывозащиенное исполнение подтвержденное сертификатом ТР ТС </w:t>
            </w:r>
            <w:r>
              <w:rPr>
                <w:rStyle w:val="CharStyle27"/>
                <w:sz w:val="20"/>
                <w:szCs w:val="20"/>
                <w:lang w:val="en-US" w:eastAsia="en-US"/>
              </w:rPr>
              <w:t>012/2011</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317"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Вес, кг</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≤1.4</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Wi-Fi</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Bluetooth </w:t>
            </w:r>
            <w:r>
              <w:rPr>
                <w:rStyle w:val="CharStyle27"/>
                <w:sz w:val="20"/>
                <w:szCs w:val="20"/>
              </w:rPr>
              <w:t>версия</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5.2</w:t>
            </w:r>
          </w:p>
        </w:tc>
      </w:tr>
      <w:tr>
        <w:trPr>
          <w:trHeight w:val="25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GPS</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GLONASS</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3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Рабочая температура, °С</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от-20 до </w:t>
            </w:r>
            <w:r>
              <w:rPr>
                <w:rStyle w:val="CharStyle27"/>
                <w:sz w:val="20"/>
                <w:szCs w:val="20"/>
                <w:lang w:val="en-US" w:eastAsia="en-US"/>
              </w:rPr>
              <w:t>+50</w:t>
            </w:r>
          </w:p>
        </w:tc>
      </w:tr>
      <w:tr>
        <w:trPr>
          <w:trHeight w:val="24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Рабочая влажность </w:t>
            </w:r>
            <w:r>
              <w:rPr>
                <w:rStyle w:val="CharStyle27"/>
                <w:sz w:val="20"/>
                <w:szCs w:val="20"/>
                <w:lang w:val="en-US" w:eastAsia="en-US"/>
              </w:rPr>
              <w:t xml:space="preserve">% </w:t>
            </w:r>
            <w:r>
              <w:rPr>
                <w:rStyle w:val="CharStyle27"/>
                <w:sz w:val="20"/>
                <w:szCs w:val="20"/>
              </w:rPr>
              <w:t>без конденсации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 </w:t>
            </w:r>
            <w:r>
              <w:rPr>
                <w:rStyle w:val="CharStyle27"/>
                <w:sz w:val="20"/>
                <w:szCs w:val="20"/>
                <w:lang w:val="en-US" w:eastAsia="en-US"/>
              </w:rPr>
              <w:t xml:space="preserve">10 </w:t>
            </w:r>
            <w:r>
              <w:rPr>
                <w:rStyle w:val="CharStyle27"/>
                <w:sz w:val="20"/>
                <w:szCs w:val="20"/>
              </w:rPr>
              <w:t xml:space="preserve">до </w:t>
            </w:r>
            <w:r>
              <w:rPr>
                <w:rStyle w:val="CharStyle27"/>
                <w:sz w:val="20"/>
                <w:szCs w:val="20"/>
                <w:lang w:val="en-US" w:eastAsia="en-US"/>
              </w:rPr>
              <w:t>95</w:t>
            </w:r>
          </w:p>
        </w:tc>
      </w:tr>
      <w:tr>
        <w:trPr>
          <w:trHeight w:val="24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Температура хранения, </w:t>
            </w:r>
            <w:r>
              <w:rPr>
                <w:rStyle w:val="CharStyle27"/>
                <w:sz w:val="20"/>
                <w:szCs w:val="20"/>
                <w:lang w:val="en-US" w:eastAsia="en-US"/>
              </w:rPr>
              <w:t>°C</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от </w:t>
            </w:r>
            <w:r>
              <w:rPr>
                <w:rStyle w:val="CharStyle27"/>
                <w:sz w:val="20"/>
                <w:szCs w:val="20"/>
                <w:lang w:val="en-US" w:eastAsia="en-US"/>
              </w:rPr>
              <w:t xml:space="preserve">-20 </w:t>
            </w:r>
            <w:r>
              <w:rPr>
                <w:rStyle w:val="CharStyle27"/>
                <w:sz w:val="20"/>
                <w:szCs w:val="20"/>
              </w:rPr>
              <w:t xml:space="preserve">до </w:t>
            </w:r>
            <w:r>
              <w:rPr>
                <w:rStyle w:val="CharStyle27"/>
                <w:sz w:val="20"/>
                <w:szCs w:val="20"/>
                <w:lang w:val="en-US" w:eastAsia="en-US"/>
              </w:rPr>
              <w:t>+70</w:t>
            </w:r>
          </w:p>
        </w:tc>
      </w:tr>
      <w:tr>
        <w:trPr>
          <w:trHeight w:val="240"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Хранение данных</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Внутренняя память</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Внешняя память</w:t>
            </w:r>
          </w:p>
        </w:tc>
      </w:tr>
      <w:tr>
        <w:trPr>
          <w:trHeight w:val="283"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Объем внутренней памяти для хранения данных, Гб</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≥64</w:t>
            </w:r>
          </w:p>
        </w:tc>
      </w:tr>
      <w:tr>
        <w:trPr>
          <w:trHeight w:val="288"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Объем карты памяти, Гб</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≥64</w:t>
            </w:r>
          </w:p>
        </w:tc>
      </w:tr>
      <w:tr>
        <w:trPr>
          <w:trHeight w:val="283"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Тип внешней карты памяти для хранения данных</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TF-карта </w:t>
            </w:r>
            <w:r>
              <w:rPr>
                <w:rStyle w:val="CharStyle27"/>
                <w:sz w:val="20"/>
                <w:szCs w:val="20"/>
              </w:rPr>
              <w:t>памяти</w:t>
            </w:r>
          </w:p>
        </w:tc>
      </w:tr>
      <w:tr>
        <w:trPr>
          <w:trHeight w:val="235"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Форматы записи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jpg (picture)</w:t>
            </w:r>
          </w:p>
        </w:tc>
      </w:tr>
      <w:tr>
        <w:trPr>
          <w:trHeight w:val="25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mp4 (video)</w:t>
            </w:r>
          </w:p>
        </w:tc>
      </w:tr>
      <w:tr>
        <w:trPr>
          <w:trHeight w:val="25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wav (audio)</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cdat (data)</w:t>
            </w:r>
          </w:p>
        </w:tc>
      </w:tr>
      <w:tr>
        <w:trPr>
          <w:trHeight w:val="240"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Поддержка экспорта данных через</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USB-C</w:t>
            </w:r>
          </w:p>
        </w:tc>
      </w:tr>
      <w:tr>
        <w:trPr>
          <w:trHeight w:val="25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Wi-Fi</w:t>
            </w:r>
          </w:p>
        </w:tc>
      </w:tr>
      <w:tr>
        <w:trPr>
          <w:trHeight w:val="29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TF-карту</w:t>
            </w:r>
          </w:p>
        </w:tc>
      </w:tr>
      <w:tr>
        <w:trPr>
          <w:trHeight w:val="24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Оценка объёма утечки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1022"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Выбор типа газа для более точной оценки объема утечки</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74"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Типы газа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Air,</w:t>
            </w:r>
          </w:p>
        </w:tc>
      </w:tr>
      <w:tr>
        <w:trPr>
          <w:trHeight w:val="24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O2,</w:t>
            </w:r>
          </w:p>
        </w:tc>
      </w:tr>
      <w:tr>
        <w:trPr>
          <w:trHeight w:val="24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N2,</w:t>
            </w:r>
          </w:p>
        </w:tc>
      </w:tr>
      <w:tr>
        <w:trPr>
          <w:trHeight w:val="283"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СО2,</w:t>
            </w:r>
          </w:p>
        </w:tc>
      </w:tr>
      <w:tr>
        <w:trPr>
          <w:trHeight w:val="25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H2,</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He,</w:t>
            </w:r>
          </w:p>
        </w:tc>
      </w:tr>
      <w:tr>
        <w:trPr>
          <w:trHeight w:val="25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H2S,</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CL2,</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Ar,</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Steam,</w:t>
            </w:r>
          </w:p>
        </w:tc>
      </w:tr>
      <w:tr>
        <w:trPr>
          <w:trHeight w:val="25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CH4,</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SO3,</w:t>
            </w:r>
          </w:p>
        </w:tc>
      </w:tr>
      <w:tr>
        <w:trPr>
          <w:trHeight w:val="302"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Vacuum</w:t>
            </w:r>
          </w:p>
        </w:tc>
      </w:tr>
      <w:tr>
        <w:trPr>
          <w:trHeight w:val="470"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Выбор типа узла (соединения) для более точной оценки объема утечки</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24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lang w:val="en-US" w:eastAsia="en-US"/>
              </w:rPr>
              <w:t xml:space="preserve">PRPD </w:t>
            </w:r>
            <w:r>
              <w:rPr>
                <w:rStyle w:val="CharStyle27"/>
                <w:sz w:val="20"/>
                <w:szCs w:val="20"/>
              </w:rPr>
              <w:t>диаграмма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475" w:hRule="exact"/>
        </w:trPr>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Выбор типа устройства обследуемого на предмет частичных разрядов</w:t>
            </w:r>
          </w:p>
        </w:tc>
        <w:tc>
          <w:tcPr>
            <w:tcBorders>
              <w:top w:val="single" w:sz="4"/>
              <w:left w:val="single" w:sz="4"/>
              <w:bottom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bl>
    <w:p>
      <w:pPr>
        <w:widowControl w:val="0"/>
        <w:spacing w:line="1" w:lineRule="exact"/>
      </w:pPr>
    </w:p>
    <w:tbl>
      <w:tblPr>
        <w:tblOverlap w:val="never"/>
        <w:jc w:val="center"/>
        <w:tblLayout w:type="fixed"/>
      </w:tblPr>
      <w:tblGrid>
        <w:gridCol w:w="5722"/>
        <w:gridCol w:w="4968"/>
      </w:tblGrid>
      <w:tr>
        <w:trPr>
          <w:trHeight w:val="250"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Виды типов устройства обследуемого на предмет частичных разрядов</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Изолятор,</w:t>
            </w:r>
          </w:p>
        </w:tc>
      </w:tr>
      <w:tr>
        <w:trPr>
          <w:trHeight w:val="23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Трансформатор,</w:t>
            </w:r>
          </w:p>
        </w:tc>
      </w:tr>
      <w:tr>
        <w:trPr>
          <w:trHeight w:val="24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Кабель,</w:t>
            </w:r>
          </w:p>
        </w:tc>
      </w:tr>
      <w:tr>
        <w:trPr>
          <w:trHeight w:val="23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Кабельная муфта,</w:t>
            </w:r>
          </w:p>
        </w:tc>
      </w:tr>
      <w:tr>
        <w:trPr>
          <w:trHeight w:val="25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Провод,</w:t>
            </w:r>
          </w:p>
        </w:tc>
      </w:tr>
      <w:tr>
        <w:trPr>
          <w:trHeight w:val="24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Втулка,</w:t>
            </w:r>
          </w:p>
        </w:tc>
      </w:tr>
      <w:tr>
        <w:trPr>
          <w:trHeight w:val="51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Крепежная пластина,</w:t>
            </w:r>
          </w:p>
        </w:tc>
      </w:tr>
      <w:tr>
        <w:trPr>
          <w:trHeight w:val="41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Заземляющий стержень,</w:t>
            </w:r>
          </w:p>
        </w:tc>
      </w:tr>
      <w:tr>
        <w:trPr>
          <w:trHeight w:val="24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Разъединитель,</w:t>
            </w:r>
          </w:p>
        </w:tc>
      </w:tr>
      <w:tr>
        <w:trPr>
          <w:trHeight w:val="250"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Дугогаситель,</w:t>
            </w:r>
          </w:p>
        </w:tc>
      </w:tr>
      <w:tr>
        <w:trPr>
          <w:trHeight w:val="245"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Прокладка,</w:t>
            </w:r>
          </w:p>
        </w:tc>
      </w:tr>
      <w:tr>
        <w:trPr>
          <w:trHeight w:val="254"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Шина,</w:t>
            </w:r>
          </w:p>
        </w:tc>
      </w:tr>
      <w:tr>
        <w:trPr>
          <w:trHeight w:val="26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Коммутационное оборудование.</w:t>
            </w:r>
          </w:p>
        </w:tc>
      </w:tr>
      <w:tr>
        <w:trPr>
          <w:trHeight w:val="466"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Настраиваемая акустическая фокусировка, для блокировки звуков за пределами области фокусировки.</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47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 xml:space="preserve">Возможность добавлять на шкалу диапазона частот до </w:t>
            </w:r>
            <w:r>
              <w:rPr>
                <w:rStyle w:val="CharStyle27"/>
                <w:sz w:val="20"/>
                <w:szCs w:val="20"/>
                <w:lang w:val="en-US" w:eastAsia="en-US"/>
              </w:rPr>
              <w:t xml:space="preserve">5 </w:t>
            </w:r>
            <w:r>
              <w:rPr>
                <w:rStyle w:val="CharStyle27"/>
                <w:sz w:val="20"/>
                <w:szCs w:val="20"/>
              </w:rPr>
              <w:t>узких настраиваемых поддиапазонов</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Наличие</w:t>
            </w:r>
          </w:p>
        </w:tc>
      </w:tr>
      <w:tr>
        <w:trPr>
          <w:trHeight w:val="614" w:hRule="exact"/>
        </w:trPr>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Язык интерфейса</w:t>
            </w:r>
          </w:p>
        </w:tc>
        <w:tc>
          <w:tcPr>
            <w:tcBorders>
              <w:top w:val="single" w:sz="4"/>
              <w:left w:val="single" w:sz="4"/>
              <w:bottom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rStyle w:val="CharStyle27"/>
                <w:sz w:val="20"/>
                <w:szCs w:val="20"/>
              </w:rPr>
              <w:t>Русский</w:t>
            </w:r>
          </w:p>
        </w:tc>
      </w:tr>
    </w:tbl>
    <w:p>
      <w:pPr>
        <w:pStyle w:val="Style15"/>
        <w:keepNext w:val="0"/>
        <w:keepLines w:val="0"/>
        <w:widowControl w:val="0"/>
        <w:shd w:val="clear" w:color="auto" w:fill="auto"/>
        <w:bidi w:val="0"/>
        <w:spacing w:before="0" w:after="0"/>
        <w:ind w:left="0" w:right="0" w:firstLine="800"/>
        <w:jc w:val="both"/>
      </w:pPr>
      <w:r>
        <w:rPr>
          <w:rStyle w:val="CharStyle16"/>
        </w:rPr>
        <w:t xml:space="preserve">Согласно письменным возражениям Заказчика, а также возражениям, представленным на заседании Комиссии Ивановского УФАС России, на рынке существует два товара, соответствующих характеристикам описания объекта закупки, установленных Заказчиком, а именно, </w:t>
      </w:r>
      <w:r>
        <w:rPr>
          <w:rStyle w:val="CharStyle16"/>
          <w:lang w:val="en-US" w:eastAsia="en-US"/>
        </w:rPr>
        <w:t xml:space="preserve">Crysound CRY8125 </w:t>
      </w:r>
      <w:r>
        <w:rPr>
          <w:rStyle w:val="CharStyle16"/>
        </w:rPr>
        <w:t xml:space="preserve">и </w:t>
      </w:r>
      <w:r>
        <w:rPr>
          <w:rStyle w:val="CharStyle16"/>
          <w:lang w:val="en-US" w:eastAsia="en-US"/>
        </w:rPr>
        <w:t>MPAC-208 IECEx.</w:t>
      </w:r>
    </w:p>
    <w:p>
      <w:pPr>
        <w:pStyle w:val="Style15"/>
        <w:keepNext w:val="0"/>
        <w:keepLines w:val="0"/>
        <w:widowControl w:val="0"/>
        <w:shd w:val="clear" w:color="auto" w:fill="auto"/>
        <w:bidi w:val="0"/>
        <w:spacing w:before="0" w:after="0"/>
        <w:ind w:left="0" w:right="0" w:firstLine="800"/>
        <w:jc w:val="both"/>
      </w:pPr>
      <w:r>
        <w:rPr>
          <w:rStyle w:val="CharStyle16"/>
        </w:rPr>
        <w:t xml:space="preserve">Комиссия Ивановского УФАС России отмечает, что указанный вопрос был подробно рассмотрен на жалобе ООО «Сфера мониторинга и диагностики» на действия ФГБОУ ВО «Ивановский государственный университет им. В.И. Ленина» при проведении запроса котировок в электронной форме на поставку ультразвукового детектора для нужд ИГЭУ (извещение </w:t>
      </w:r>
      <w:r>
        <w:rPr>
          <w:rStyle w:val="CharStyle16"/>
          <w:lang w:val="en-US" w:eastAsia="en-US"/>
        </w:rPr>
        <w:t xml:space="preserve">№0333100006726000037) </w:t>
      </w:r>
      <w:r>
        <w:rPr>
          <w:rStyle w:val="CharStyle16"/>
        </w:rPr>
        <w:t xml:space="preserve">по аналогичному доводу, а именно согласно пояснениям, представленным ООО «Сфера мониторинга и диагностики», оба товара фактически являются одним и тем же устройством (ОЕМ-продуктом), выпускаемым на одной производственной линии. В подтверждение этому Заявитель предоставил официальный международный сертификат взрывозащиты </w:t>
      </w:r>
      <w:r>
        <w:rPr>
          <w:rStyle w:val="CharStyle16"/>
          <w:lang w:val="en-US" w:eastAsia="en-US"/>
        </w:rPr>
        <w:t xml:space="preserve">IECEx TUR </w:t>
      </w:r>
      <w:r>
        <w:rPr>
          <w:rStyle w:val="CharStyle16"/>
        </w:rPr>
        <w:t xml:space="preserve">24.0052Х, согласно которому в разделе </w:t>
      </w:r>
      <w:r>
        <w:rPr>
          <w:rStyle w:val="CharStyle16"/>
          <w:lang w:val="en-US" w:eastAsia="en-US"/>
        </w:rPr>
        <w:t xml:space="preserve">Equipment </w:t>
      </w:r>
      <w:r>
        <w:rPr>
          <w:rStyle w:val="CharStyle16"/>
        </w:rPr>
        <w:t xml:space="preserve">(Оборудование) перечислены обе спорные модели: </w:t>
      </w:r>
      <w:r>
        <w:rPr>
          <w:rStyle w:val="CharStyle16"/>
          <w:lang w:val="en-US" w:eastAsia="en-US"/>
        </w:rPr>
        <w:t xml:space="preserve">CRY8125 </w:t>
      </w:r>
      <w:r>
        <w:rPr>
          <w:rStyle w:val="CharStyle16"/>
        </w:rPr>
        <w:t xml:space="preserve">и </w:t>
      </w:r>
      <w:r>
        <w:rPr>
          <w:rStyle w:val="CharStyle16"/>
          <w:lang w:val="en-US" w:eastAsia="en-US"/>
        </w:rPr>
        <w:t xml:space="preserve">MPAC-208 IECEx, </w:t>
      </w:r>
      <w:r>
        <w:rPr>
          <w:rStyle w:val="CharStyle16"/>
        </w:rPr>
        <w:t xml:space="preserve">в графах </w:t>
      </w:r>
      <w:r>
        <w:rPr>
          <w:rStyle w:val="CharStyle16"/>
          <w:lang w:val="en-US" w:eastAsia="en-US"/>
        </w:rPr>
        <w:t xml:space="preserve">(Applicant) </w:t>
      </w:r>
      <w:r>
        <w:rPr>
          <w:rStyle w:val="CharStyle16"/>
        </w:rPr>
        <w:t xml:space="preserve">Заявитель и </w:t>
      </w:r>
      <w:r>
        <w:rPr>
          <w:rStyle w:val="CharStyle16"/>
          <w:lang w:val="en-US" w:eastAsia="en-US"/>
        </w:rPr>
        <w:t xml:space="preserve">(Manufacturer) </w:t>
      </w:r>
      <w:r>
        <w:rPr>
          <w:rStyle w:val="CharStyle16"/>
        </w:rPr>
        <w:t xml:space="preserve">Изготовитель указано одно и то же юридическое лицо </w:t>
      </w:r>
      <w:r>
        <w:rPr>
          <w:rStyle w:val="CharStyle16"/>
          <w:lang w:val="en-US" w:eastAsia="en-US"/>
        </w:rPr>
        <w:t xml:space="preserve">- Hangzhou Crysound Electronics Co., Ltd, </w:t>
      </w:r>
      <w:r>
        <w:rPr>
          <w:rStyle w:val="CharStyle16"/>
        </w:rPr>
        <w:t>а также зафиксировано, что обе спорные модели имеют одинаковую конструкцию.</w:t>
      </w:r>
    </w:p>
    <w:p>
      <w:pPr>
        <w:pStyle w:val="Style15"/>
        <w:keepNext w:val="0"/>
        <w:keepLines w:val="0"/>
        <w:widowControl w:val="0"/>
        <w:shd w:val="clear" w:color="auto" w:fill="auto"/>
        <w:bidi w:val="0"/>
        <w:spacing w:before="0" w:after="0"/>
        <w:ind w:left="0" w:right="0" w:firstLine="800"/>
        <w:jc w:val="both"/>
      </w:pPr>
      <w:r>
        <w:rPr>
          <w:rStyle w:val="CharStyle16"/>
        </w:rPr>
        <w:t>Представители ООО «СИНАПС» поддержали пояснения ООО «Сфера мониторинга и диагностики».</w:t>
      </w:r>
    </w:p>
    <w:p>
      <w:pPr>
        <w:pStyle w:val="Style15"/>
        <w:keepNext w:val="0"/>
        <w:keepLines w:val="0"/>
        <w:widowControl w:val="0"/>
        <w:shd w:val="clear" w:color="auto" w:fill="auto"/>
        <w:bidi w:val="0"/>
        <w:spacing w:before="0" w:after="0"/>
        <w:ind w:left="0" w:right="0" w:firstLine="800"/>
        <w:jc w:val="both"/>
      </w:pPr>
      <w:r>
        <w:rPr>
          <w:rStyle w:val="CharStyle16"/>
        </w:rPr>
        <w:t xml:space="preserve">Заказчиком представлена ссылка с интернет-страницы </w:t>
      </w:r>
      <w:r>
        <w:rPr>
          <w:rStyle w:val="CharStyle16"/>
          <w:lang w:val="en-US" w:eastAsia="en-US"/>
        </w:rPr>
        <w:t xml:space="preserve">Megger Group Limited, </w:t>
      </w:r>
      <w:r>
        <w:rPr>
          <w:rStyle w:val="CharStyle16"/>
        </w:rPr>
        <w:t xml:space="preserve">где указана информация о приборе </w:t>
      </w:r>
      <w:r>
        <w:rPr>
          <w:rStyle w:val="CharStyle16"/>
          <w:lang w:val="en-US" w:eastAsia="en-US"/>
        </w:rPr>
        <w:t xml:space="preserve">MPAC-208 IECEx, </w:t>
      </w:r>
      <w:r>
        <w:rPr>
          <w:rStyle w:val="CharStyle16"/>
        </w:rPr>
        <w:t xml:space="preserve">а также представлена декларация на </w:t>
      </w:r>
      <w:r>
        <w:rPr>
          <w:rStyle w:val="CharStyle16"/>
          <w:lang w:val="en-US" w:eastAsia="en-US"/>
        </w:rPr>
        <w:t xml:space="preserve">Crysound CRY8125, </w:t>
      </w:r>
      <w:r>
        <w:rPr>
          <w:rStyle w:val="CharStyle16"/>
        </w:rPr>
        <w:t xml:space="preserve">где указан производитель </w:t>
      </w:r>
      <w:r>
        <w:rPr>
          <w:rStyle w:val="CharStyle16"/>
          <w:lang w:val="en-US" w:eastAsia="en-US"/>
        </w:rPr>
        <w:t xml:space="preserve">Crysound CRY8125 - Hangzhou Crysound Electronics Co. </w:t>
      </w:r>
      <w:r>
        <w:rPr>
          <w:rStyle w:val="CharStyle16"/>
        </w:rPr>
        <w:t xml:space="preserve">Вместе с тем, интернет-страница </w:t>
      </w:r>
      <w:r>
        <w:rPr>
          <w:rStyle w:val="CharStyle16"/>
          <w:lang w:val="en-US" w:eastAsia="en-US"/>
        </w:rPr>
        <w:t xml:space="preserve">Megger Group Limited </w:t>
      </w:r>
      <w:r>
        <w:rPr>
          <w:rStyle w:val="CharStyle16"/>
        </w:rPr>
        <w:t xml:space="preserve">не содержит сведений о производителе </w:t>
      </w:r>
      <w:r>
        <w:rPr>
          <w:rStyle w:val="CharStyle16"/>
          <w:lang w:val="en-US" w:eastAsia="en-US"/>
        </w:rPr>
        <w:t xml:space="preserve">MPAC-208 IECEx. </w:t>
      </w:r>
      <w:r>
        <w:rPr>
          <w:rStyle w:val="CharStyle16"/>
        </w:rPr>
        <w:t>Также представители Заказчика указали, что при размещении и подготовке извещения, Заказчиком не изучался вопрос о наличии двух производителей товара.</w:t>
      </w:r>
    </w:p>
    <w:p>
      <w:pPr>
        <w:pStyle w:val="Style15"/>
        <w:keepNext w:val="0"/>
        <w:keepLines w:val="0"/>
        <w:widowControl w:val="0"/>
        <w:shd w:val="clear" w:color="auto" w:fill="auto"/>
        <w:bidi w:val="0"/>
        <w:spacing w:before="0" w:after="0"/>
        <w:ind w:left="0" w:right="0" w:firstLine="800"/>
        <w:jc w:val="both"/>
      </w:pPr>
      <w:r>
        <w:rPr>
          <w:rStyle w:val="CharStyle16"/>
        </w:rPr>
        <w:t>Также Комиссией Ивановского УФАС России был изучен вопрос потребности Заказчика в характеристиках, указанных в описании объекта закупки.</w:t>
      </w:r>
    </w:p>
    <w:p>
      <w:pPr>
        <w:pStyle w:val="Style15"/>
        <w:keepNext w:val="0"/>
        <w:keepLines w:val="0"/>
        <w:widowControl w:val="0"/>
        <w:shd w:val="clear" w:color="auto" w:fill="auto"/>
        <w:bidi w:val="0"/>
        <w:spacing w:before="0" w:after="0"/>
        <w:ind w:left="0" w:right="0" w:firstLine="800"/>
        <w:jc w:val="both"/>
      </w:pPr>
      <w:r>
        <w:rPr>
          <w:rStyle w:val="CharStyle16"/>
        </w:rPr>
        <w:t>Так, представители Заявителя отметили, что готовы предложить к поставке товар</w:t>
      </w:r>
    </w:p>
    <w:p>
      <w:pPr>
        <w:pStyle w:val="Style15"/>
        <w:keepNext w:val="0"/>
        <w:keepLines w:val="0"/>
        <w:widowControl w:val="0"/>
        <w:shd w:val="clear" w:color="auto" w:fill="auto"/>
        <w:bidi w:val="0"/>
        <w:spacing w:before="0" w:after="0"/>
        <w:ind w:left="0" w:right="0" w:firstLine="0"/>
        <w:jc w:val="left"/>
      </w:pPr>
      <w:r>
        <w:rPr>
          <w:rStyle w:val="CharStyle16"/>
        </w:rPr>
        <w:t>российского происхождения, а также указали, что:</w:t>
      </w:r>
    </w:p>
    <w:p>
      <w:pPr>
        <w:pStyle w:val="Style15"/>
        <w:keepNext w:val="0"/>
        <w:keepLines w:val="0"/>
        <w:widowControl w:val="0"/>
        <w:numPr>
          <w:ilvl w:val="0"/>
          <w:numId w:val="3"/>
        </w:numPr>
        <w:shd w:val="clear" w:color="auto" w:fill="auto"/>
        <w:tabs>
          <w:tab w:pos="946" w:val="left"/>
        </w:tabs>
        <w:bidi w:val="0"/>
        <w:spacing w:before="0" w:after="0"/>
        <w:ind w:left="0" w:right="0" w:firstLine="800"/>
        <w:jc w:val="both"/>
      </w:pPr>
      <w:r>
        <w:rPr>
          <w:rStyle w:val="CharStyle16"/>
        </w:rPr>
        <w:t xml:space="preserve">Предлагаемые отечественные решения включены в отраслевой стандарт ПАО «Россети» СТО </w:t>
      </w:r>
      <w:r>
        <w:rPr>
          <w:rStyle w:val="CharStyle16"/>
          <w:lang w:val="en-US" w:eastAsia="en-US"/>
        </w:rPr>
        <w:t xml:space="preserve">34.01-12-004-2025 </w:t>
      </w:r>
      <w:r>
        <w:rPr>
          <w:rStyle w:val="CharStyle16"/>
        </w:rPr>
        <w:t xml:space="preserve">«Локализация дефектов и измерение уровня разрядной активности в высоковольтном оборудовании акустическим методом с помощью ультразвуковых детекторов». Об опыте использования данных приборов выпущена статья научно-технического журнала «ЭЛЕКТРОЭНЕРГИЯ. Передача и распределение» Спецвыпуск </w:t>
      </w:r>
      <w:r>
        <w:rPr>
          <w:rStyle w:val="CharStyle16"/>
          <w:lang w:val="en-US" w:eastAsia="en-US"/>
        </w:rPr>
        <w:t xml:space="preserve">№4(39) </w:t>
      </w:r>
      <w:r>
        <w:rPr>
          <w:rStyle w:val="CharStyle16"/>
        </w:rPr>
        <w:t>от декабря 2025г.;</w:t>
      </w:r>
    </w:p>
    <w:p>
      <w:pPr>
        <w:pStyle w:val="Style15"/>
        <w:keepNext w:val="0"/>
        <w:keepLines w:val="0"/>
        <w:widowControl w:val="0"/>
        <w:numPr>
          <w:ilvl w:val="0"/>
          <w:numId w:val="3"/>
        </w:numPr>
        <w:shd w:val="clear" w:color="auto" w:fill="auto"/>
        <w:tabs>
          <w:tab w:pos="946" w:val="left"/>
        </w:tabs>
        <w:bidi w:val="0"/>
        <w:spacing w:before="0" w:after="0"/>
        <w:ind w:left="0" w:right="0" w:firstLine="800"/>
        <w:jc w:val="both"/>
      </w:pPr>
      <w:r>
        <w:rPr>
          <w:rStyle w:val="CharStyle16"/>
        </w:rPr>
        <w:t xml:space="preserve">Предлагаемые отечественные решения включены в реестр инновационных (высокотехнологичных) решений Группы «Интер РАО» приказ </w:t>
      </w:r>
      <w:r>
        <w:rPr>
          <w:rStyle w:val="CharStyle16"/>
          <w:lang w:val="en-US" w:eastAsia="en-US"/>
        </w:rPr>
        <w:t xml:space="preserve">№ </w:t>
      </w:r>
      <w:r>
        <w:rPr>
          <w:rStyle w:val="CharStyle16"/>
        </w:rPr>
        <w:t>2025-СТ-004 и рекомендованы к внедрению;</w:t>
      </w:r>
    </w:p>
    <w:p>
      <w:pPr>
        <w:pStyle w:val="Style15"/>
        <w:keepNext w:val="0"/>
        <w:keepLines w:val="0"/>
        <w:widowControl w:val="0"/>
        <w:numPr>
          <w:ilvl w:val="0"/>
          <w:numId w:val="3"/>
        </w:numPr>
        <w:shd w:val="clear" w:color="auto" w:fill="auto"/>
        <w:tabs>
          <w:tab w:pos="946" w:val="left"/>
        </w:tabs>
        <w:bidi w:val="0"/>
        <w:spacing w:before="0" w:after="0"/>
        <w:ind w:left="0" w:right="0" w:firstLine="800"/>
        <w:jc w:val="both"/>
      </w:pPr>
      <w:r>
        <w:rPr>
          <w:rStyle w:val="CharStyle16"/>
        </w:rPr>
        <w:t xml:space="preserve">Предлагаемые отечественные решения включены в перечень импортозамещённой продукции АО «Концерн Росэнергоатом» (протокол 9/0201/1952-Пр </w:t>
      </w:r>
      <w:r>
        <w:rPr>
          <w:rStyle w:val="CharStyle16"/>
          <w:lang w:val="en-US" w:eastAsia="en-US"/>
        </w:rPr>
        <w:t>26.12.2025).</w:t>
      </w:r>
    </w:p>
    <w:p>
      <w:pPr>
        <w:pStyle w:val="Style15"/>
        <w:keepNext w:val="0"/>
        <w:keepLines w:val="0"/>
        <w:widowControl w:val="0"/>
        <w:shd w:val="clear" w:color="auto" w:fill="auto"/>
        <w:bidi w:val="0"/>
        <w:spacing w:before="0" w:after="0"/>
        <w:ind w:left="0" w:right="0" w:firstLine="800"/>
        <w:jc w:val="both"/>
      </w:pPr>
      <w:r>
        <w:rPr>
          <w:rStyle w:val="CharStyle16"/>
        </w:rPr>
        <w:t xml:space="preserve">Кроме того, Заявитель отметил несколько характеристик, которые, по его мнению, ограничивают конкуренцию, а том числе количество </w:t>
      </w:r>
      <w:r>
        <w:rPr>
          <w:rStyle w:val="CharStyle16"/>
          <w:lang w:val="en-US" w:eastAsia="en-US"/>
        </w:rPr>
        <w:t xml:space="preserve">MEMS </w:t>
      </w:r>
      <w:r>
        <w:rPr>
          <w:rStyle w:val="CharStyle16"/>
        </w:rPr>
        <w:t xml:space="preserve">микрофонов (микрофонная решетка) </w:t>
      </w:r>
      <w:r>
        <w:rPr>
          <w:rStyle w:val="CharStyle16"/>
          <w:lang w:val="en-US" w:eastAsia="en-US"/>
        </w:rPr>
        <w:t xml:space="preserve">- ≥208, </w:t>
      </w:r>
      <w:r>
        <w:rPr>
          <w:rStyle w:val="CharStyle16"/>
        </w:rPr>
        <w:t xml:space="preserve">размер сенсорного экрана, дюйм </w:t>
      </w:r>
      <w:r>
        <w:rPr>
          <w:rStyle w:val="CharStyle16"/>
          <w:lang w:val="en-US" w:eastAsia="en-US"/>
        </w:rPr>
        <w:t xml:space="preserve">- ≥8, Bluetooth </w:t>
      </w:r>
      <w:r>
        <w:rPr>
          <w:rStyle w:val="CharStyle16"/>
        </w:rPr>
        <w:t xml:space="preserve">версия </w:t>
      </w:r>
      <w:r>
        <w:rPr>
          <w:rStyle w:val="CharStyle16"/>
          <w:lang w:val="en-US" w:eastAsia="en-US"/>
        </w:rPr>
        <w:t>– 5.2.</w:t>
      </w:r>
    </w:p>
    <w:p>
      <w:pPr>
        <w:pStyle w:val="Style15"/>
        <w:keepNext w:val="0"/>
        <w:keepLines w:val="0"/>
        <w:widowControl w:val="0"/>
        <w:shd w:val="clear" w:color="auto" w:fill="auto"/>
        <w:bidi w:val="0"/>
        <w:spacing w:before="0" w:after="0"/>
        <w:ind w:left="0" w:right="0" w:firstLine="800"/>
        <w:jc w:val="both"/>
      </w:pPr>
      <w:r>
        <w:rPr>
          <w:rStyle w:val="CharStyle16"/>
        </w:rPr>
        <w:t xml:space="preserve">Так, на заседании Комиссии Ивановского УФАС России, представителям Заказчика был задан вопрос о потребности в следующих характеристиках </w:t>
      </w:r>
      <w:r>
        <w:rPr>
          <w:rStyle w:val="CharStyle16"/>
          <w:lang w:val="en-US" w:eastAsia="en-US"/>
        </w:rPr>
        <w:t xml:space="preserve">Bluetooth </w:t>
      </w:r>
      <w:r>
        <w:rPr>
          <w:rStyle w:val="CharStyle16"/>
        </w:rPr>
        <w:t xml:space="preserve">версия </w:t>
      </w:r>
      <w:r>
        <w:rPr>
          <w:rStyle w:val="CharStyle16"/>
          <w:lang w:val="en-US" w:eastAsia="en-US"/>
        </w:rPr>
        <w:t xml:space="preserve">– 5.2, </w:t>
      </w:r>
      <w:r>
        <w:rPr>
          <w:rStyle w:val="CharStyle16"/>
        </w:rPr>
        <w:t xml:space="preserve">размер сенсорного экрана, дюйм </w:t>
      </w:r>
      <w:r>
        <w:rPr>
          <w:rStyle w:val="CharStyle16"/>
          <w:lang w:val="en-US" w:eastAsia="en-US"/>
        </w:rPr>
        <w:t xml:space="preserve">- ≥8, </w:t>
      </w:r>
      <w:r>
        <w:rPr>
          <w:rStyle w:val="CharStyle16"/>
        </w:rPr>
        <w:t xml:space="preserve">количество </w:t>
      </w:r>
      <w:r>
        <w:rPr>
          <w:rStyle w:val="CharStyle16"/>
          <w:lang w:val="en-US" w:eastAsia="en-US"/>
        </w:rPr>
        <w:t xml:space="preserve">MEMS </w:t>
      </w:r>
      <w:r>
        <w:rPr>
          <w:rStyle w:val="CharStyle16"/>
        </w:rPr>
        <w:t xml:space="preserve">микрофонов (микрофонная решетка) </w:t>
      </w:r>
      <w:r>
        <w:rPr>
          <w:rStyle w:val="CharStyle16"/>
          <w:lang w:val="en-US" w:eastAsia="en-US"/>
        </w:rPr>
        <w:t>- ≥208.</w:t>
      </w:r>
    </w:p>
    <w:p>
      <w:pPr>
        <w:pStyle w:val="Style15"/>
        <w:keepNext w:val="0"/>
        <w:keepLines w:val="0"/>
        <w:widowControl w:val="0"/>
        <w:shd w:val="clear" w:color="auto" w:fill="auto"/>
        <w:bidi w:val="0"/>
        <w:spacing w:before="0" w:after="0"/>
        <w:ind w:left="0" w:right="0" w:firstLine="800"/>
        <w:jc w:val="both"/>
      </w:pPr>
      <w:r>
        <w:rPr>
          <w:rStyle w:val="CharStyle16"/>
        </w:rPr>
        <w:t xml:space="preserve">Так, относительно </w:t>
      </w:r>
      <w:r>
        <w:rPr>
          <w:rStyle w:val="CharStyle16"/>
          <w:lang w:val="en-US" w:eastAsia="en-US"/>
        </w:rPr>
        <w:t xml:space="preserve">Bluetooth </w:t>
      </w:r>
      <w:r>
        <w:rPr>
          <w:rStyle w:val="CharStyle16"/>
        </w:rPr>
        <w:t xml:space="preserve">версии представитель Заказчика указал, что ему подойдут и более улучшенные версии. Вместе с тем, на заседании Комиссии Ивановского УФАС России представитель ООО «СИНАПС» указал, что </w:t>
      </w:r>
      <w:r>
        <w:rPr>
          <w:rStyle w:val="CharStyle16"/>
          <w:lang w:val="en-US" w:eastAsia="en-US"/>
        </w:rPr>
        <w:t xml:space="preserve">Bluetooth </w:t>
      </w:r>
      <w:r>
        <w:rPr>
          <w:rStyle w:val="CharStyle16"/>
        </w:rPr>
        <w:t xml:space="preserve">в данном устройстве не имеет функциональных преимуществ, так как </w:t>
      </w:r>
      <w:r>
        <w:rPr>
          <w:rStyle w:val="CharStyle16"/>
          <w:lang w:val="en-US" w:eastAsia="en-US"/>
        </w:rPr>
        <w:t xml:space="preserve">WiFi </w:t>
      </w:r>
      <w:r>
        <w:rPr>
          <w:rStyle w:val="CharStyle16"/>
        </w:rPr>
        <w:t xml:space="preserve">полностью обеспечивает функционал устройства. Вместе с тем, в ответ на вопрос: зачем товару нужен </w:t>
      </w:r>
      <w:r>
        <w:rPr>
          <w:rStyle w:val="CharStyle16"/>
          <w:lang w:val="en-US" w:eastAsia="en-US"/>
        </w:rPr>
        <w:t xml:space="preserve">Bluetooth </w:t>
      </w:r>
      <w:r>
        <w:rPr>
          <w:rStyle w:val="CharStyle16"/>
        </w:rPr>
        <w:t>и с определенной версией, представитель Заказчика не обосновал необходимость своей потребности.</w:t>
      </w:r>
    </w:p>
    <w:p>
      <w:pPr>
        <w:pStyle w:val="Style15"/>
        <w:keepNext w:val="0"/>
        <w:keepLines w:val="0"/>
        <w:widowControl w:val="0"/>
        <w:shd w:val="clear" w:color="auto" w:fill="auto"/>
        <w:bidi w:val="0"/>
        <w:spacing w:before="0" w:after="0"/>
        <w:ind w:left="0" w:right="0" w:firstLine="800"/>
        <w:jc w:val="both"/>
      </w:pPr>
      <w:r>
        <w:rPr>
          <w:rStyle w:val="CharStyle16"/>
        </w:rPr>
        <w:t xml:space="preserve">Относительно характеристики размер сенсорного экрана, дюйм </w:t>
      </w:r>
      <w:r>
        <w:rPr>
          <w:rStyle w:val="CharStyle16"/>
          <w:lang w:val="en-US" w:eastAsia="en-US"/>
        </w:rPr>
        <w:t xml:space="preserve">- ≥8, </w:t>
      </w:r>
      <w:r>
        <w:rPr>
          <w:rStyle w:val="CharStyle16"/>
        </w:rPr>
        <w:t>представители Заказчика пояснили, что установление показателя характеристики обусловлено тем, что дисплей с меньшей диагональю затруднит работу в средствах индивидуальной защиты, а также затруднит детальное рассмотрение объекта инспекций.</w:t>
      </w:r>
    </w:p>
    <w:p>
      <w:pPr>
        <w:pStyle w:val="Style15"/>
        <w:keepNext w:val="0"/>
        <w:keepLines w:val="0"/>
        <w:widowControl w:val="0"/>
        <w:shd w:val="clear" w:color="auto" w:fill="auto"/>
        <w:bidi w:val="0"/>
        <w:spacing w:before="0" w:after="0"/>
        <w:ind w:left="0" w:right="0" w:firstLine="800"/>
        <w:jc w:val="both"/>
      </w:pPr>
      <w:r>
        <w:rPr>
          <w:rStyle w:val="CharStyle16"/>
        </w:rPr>
        <w:t xml:space="preserve">Вместе с тем, представители ООО «Сфера мониторинга и диагностики» и ООО «Синапс» пояснили, что у товара, который они хотели бы предложить, размер сенсорного экрана </w:t>
      </w:r>
      <w:r>
        <w:rPr>
          <w:rStyle w:val="CharStyle16"/>
          <w:lang w:val="en-US" w:eastAsia="en-US"/>
        </w:rPr>
        <w:t xml:space="preserve">– 7 </w:t>
      </w:r>
      <w:r>
        <w:rPr>
          <w:rStyle w:val="CharStyle16"/>
        </w:rPr>
        <w:t>дюймов.</w:t>
      </w:r>
    </w:p>
    <w:p>
      <w:pPr>
        <w:pStyle w:val="Style15"/>
        <w:keepNext w:val="0"/>
        <w:keepLines w:val="0"/>
        <w:widowControl w:val="0"/>
        <w:shd w:val="clear" w:color="auto" w:fill="auto"/>
        <w:bidi w:val="0"/>
        <w:spacing w:before="0" w:after="0"/>
        <w:ind w:left="0" w:right="0" w:firstLine="800"/>
        <w:jc w:val="both"/>
      </w:pPr>
      <w:r>
        <w:rPr>
          <w:rStyle w:val="CharStyle16"/>
        </w:rPr>
        <w:t xml:space="preserve">Согласно сведениям, размещенным в информационно-коммуникационной сети интернет, </w:t>
      </w:r>
      <w:r>
        <w:rPr>
          <w:rStyle w:val="CharStyle16"/>
          <w:lang w:val="en-US" w:eastAsia="en-US"/>
        </w:rPr>
        <w:t xml:space="preserve">1 </w:t>
      </w:r>
      <w:r>
        <w:rPr>
          <w:rStyle w:val="CharStyle16"/>
        </w:rPr>
        <w:t xml:space="preserve">дюйм сенсорного экрана равен </w:t>
      </w:r>
      <w:r>
        <w:rPr>
          <w:rStyle w:val="CharStyle16"/>
          <w:lang w:val="en-US" w:eastAsia="en-US"/>
        </w:rPr>
        <w:t xml:space="preserve">2,54 </w:t>
      </w:r>
      <w:r>
        <w:rPr>
          <w:rStyle w:val="CharStyle16"/>
        </w:rPr>
        <w:t>см. На основании изложенного, Комиссия Ивановского УФАС России считает, что разница в один дюйм не может помешать работе в средствах индивидуальной защиты и не затруднит детальное рассмотрение объекта инспекций.</w:t>
      </w:r>
    </w:p>
    <w:p>
      <w:pPr>
        <w:pStyle w:val="Style15"/>
        <w:keepNext w:val="0"/>
        <w:keepLines w:val="0"/>
        <w:widowControl w:val="0"/>
        <w:shd w:val="clear" w:color="auto" w:fill="auto"/>
        <w:bidi w:val="0"/>
        <w:spacing w:before="0" w:after="0"/>
        <w:ind w:left="0" w:right="0" w:firstLine="800"/>
        <w:jc w:val="both"/>
      </w:pPr>
      <w:r>
        <w:rPr>
          <w:rStyle w:val="CharStyle16"/>
        </w:rPr>
        <w:t xml:space="preserve">Относительно количества </w:t>
      </w:r>
      <w:r>
        <w:rPr>
          <w:rStyle w:val="CharStyle16"/>
          <w:lang w:val="en-US" w:eastAsia="en-US"/>
        </w:rPr>
        <w:t xml:space="preserve">MEMS </w:t>
      </w:r>
      <w:r>
        <w:rPr>
          <w:rStyle w:val="CharStyle16"/>
        </w:rPr>
        <w:t xml:space="preserve">микрофонов (микрофонная решетка) </w:t>
      </w:r>
      <w:r>
        <w:rPr>
          <w:rStyle w:val="CharStyle16"/>
          <w:lang w:val="en-US" w:eastAsia="en-US"/>
        </w:rPr>
        <w:t xml:space="preserve">- ≥208 </w:t>
      </w:r>
      <w:r>
        <w:rPr>
          <w:rStyle w:val="CharStyle16"/>
        </w:rPr>
        <w:t>на заседании Комиссии Ивановского УФАС России представители Заказчика пояснили, что для профессиональной диагностики на сложных промышленных объектах плотность микрофонной решетки является определяющим фактором достоверности данных.</w:t>
      </w:r>
    </w:p>
    <w:p>
      <w:pPr>
        <w:pStyle w:val="Style15"/>
        <w:keepNext w:val="0"/>
        <w:keepLines w:val="0"/>
        <w:widowControl w:val="0"/>
        <w:shd w:val="clear" w:color="auto" w:fill="auto"/>
        <w:bidi w:val="0"/>
        <w:spacing w:before="0" w:after="0"/>
        <w:ind w:left="0" w:right="0" w:firstLine="800"/>
        <w:jc w:val="both"/>
      </w:pPr>
      <w:r>
        <w:rPr>
          <w:rStyle w:val="CharStyle16"/>
        </w:rPr>
        <w:t xml:space="preserve">Представители ООО «СИНАПС» с представителями Заказчика не согласились, сославшись на то, что количество микрофонов в изделии не является единицей измерения и не имеет доказанной и общепринятой прямой зависимости между количеством </w:t>
      </w:r>
      <w:r>
        <w:rPr>
          <w:rStyle w:val="CharStyle16"/>
          <w:lang w:val="en-US" w:eastAsia="en-US"/>
        </w:rPr>
        <w:t>MEMS</w:t>
      </w:r>
      <w:r>
        <w:br w:type="page"/>
      </w:r>
    </w:p>
    <w:p>
      <w:pPr>
        <w:pStyle w:val="Style15"/>
        <w:keepNext w:val="0"/>
        <w:keepLines w:val="0"/>
        <w:widowControl w:val="0"/>
        <w:shd w:val="clear" w:color="auto" w:fill="auto"/>
        <w:bidi w:val="0"/>
        <w:spacing w:before="0" w:after="0" w:line="254" w:lineRule="auto"/>
        <w:ind w:left="0" w:right="0" w:firstLine="0"/>
        <w:jc w:val="left"/>
      </w:pPr>
      <w:r>
        <w:rPr>
          <w:rStyle w:val="CharStyle16"/>
        </w:rPr>
        <w:t>микрофонов и качеством визуализации источников звука.</w:t>
      </w:r>
    </w:p>
    <w:p>
      <w:pPr>
        <w:pStyle w:val="Style15"/>
        <w:keepNext w:val="0"/>
        <w:keepLines w:val="0"/>
        <w:widowControl w:val="0"/>
        <w:shd w:val="clear" w:color="auto" w:fill="auto"/>
        <w:bidi w:val="0"/>
        <w:spacing w:before="0" w:after="0" w:line="254" w:lineRule="auto"/>
        <w:ind w:left="0" w:right="0" w:firstLine="800"/>
        <w:jc w:val="both"/>
      </w:pPr>
      <w:r>
        <w:rPr>
          <w:rStyle w:val="CharStyle16"/>
        </w:rPr>
        <w:t xml:space="preserve">Таким образом, учитывая тот факт, что Заказчиком не изучался вопрос о наличии двух производителей при составлении и размещении описания объекта закупки, а также отсутствия документального подтверждения наличия двух производителей на рынке товаров с указанными в описании объекта закупки характеристиками, а также с отсутствием обоснования потребности Заказчика в представленных характеристиках, ФГБОУ ВО «Ивановский государственный университет им. В.И. Ленина» допущено нарушение п. </w:t>
      </w:r>
      <w:r>
        <w:rPr>
          <w:rStyle w:val="CharStyle16"/>
          <w:lang w:val="en-US" w:eastAsia="en-US"/>
        </w:rPr>
        <w:t xml:space="preserve">1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 xml:space="preserve">п. </w:t>
      </w:r>
      <w:r>
        <w:rPr>
          <w:rStyle w:val="CharStyle16"/>
          <w:lang w:val="en-US" w:eastAsia="en-US"/>
        </w:rPr>
        <w:t xml:space="preserve">1 </w:t>
      </w:r>
      <w:r>
        <w:rPr>
          <w:rStyle w:val="CharStyle16"/>
        </w:rPr>
        <w:t xml:space="preserve">ч. </w:t>
      </w:r>
      <w:r>
        <w:rPr>
          <w:rStyle w:val="CharStyle16"/>
          <w:lang w:val="en-US" w:eastAsia="en-US"/>
        </w:rPr>
        <w:t xml:space="preserve">2 </w:t>
      </w:r>
      <w:r>
        <w:rPr>
          <w:rStyle w:val="CharStyle16"/>
        </w:rPr>
        <w:t xml:space="preserve">ст. </w:t>
      </w:r>
      <w:r>
        <w:rPr>
          <w:rStyle w:val="CharStyle16"/>
          <w:lang w:val="en-US" w:eastAsia="en-US"/>
        </w:rPr>
        <w:t xml:space="preserve">42 </w:t>
      </w:r>
      <w:r>
        <w:rPr>
          <w:rStyle w:val="CharStyle16"/>
        </w:rPr>
        <w:t>Закона о контрактной системе.</w:t>
      </w:r>
    </w:p>
    <w:p>
      <w:pPr>
        <w:pStyle w:val="Style15"/>
        <w:keepNext w:val="0"/>
        <w:keepLines w:val="0"/>
        <w:widowControl w:val="0"/>
        <w:shd w:val="clear" w:color="auto" w:fill="auto"/>
        <w:bidi w:val="0"/>
        <w:spacing w:before="0" w:after="0" w:line="254" w:lineRule="auto"/>
        <w:ind w:left="0" w:right="0" w:firstLine="800"/>
        <w:jc w:val="both"/>
      </w:pPr>
      <w:r>
        <w:rPr>
          <w:rStyle w:val="CharStyle16"/>
        </w:rPr>
        <w:t xml:space="preserve">Учитывая изложенное, а также тот факт, что выявленное нарушение Закона о контрактной системе свидетельствует о наличии признаков состава административного правонарушения, предусмотренного ч. </w:t>
      </w:r>
      <w:r>
        <w:rPr>
          <w:rStyle w:val="CharStyle16"/>
          <w:lang w:val="en-US" w:eastAsia="en-US"/>
        </w:rPr>
        <w:t xml:space="preserve">5 </w:t>
      </w:r>
      <w:r>
        <w:rPr>
          <w:rStyle w:val="CharStyle16"/>
        </w:rPr>
        <w:t xml:space="preserve">ст. </w:t>
      </w:r>
      <w:r>
        <w:rPr>
          <w:rStyle w:val="CharStyle16"/>
          <w:lang w:val="en-US" w:eastAsia="en-US"/>
        </w:rPr>
        <w:t xml:space="preserve">7.30.1 </w:t>
      </w:r>
      <w:r>
        <w:rPr>
          <w:rStyle w:val="CharStyle16"/>
        </w:rPr>
        <w:t xml:space="preserve">Кодекса Российской Федерации об административных правонарушениях (далее </w:t>
      </w:r>
      <w:r>
        <w:rPr>
          <w:rStyle w:val="CharStyle16"/>
          <w:lang w:val="en-US" w:eastAsia="en-US"/>
        </w:rPr>
        <w:t xml:space="preserve">– </w:t>
      </w:r>
      <w:r>
        <w:rPr>
          <w:rStyle w:val="CharStyle16"/>
        </w:rPr>
        <w:t xml:space="preserve">КоАП РФ), руководствуясь ст. </w:t>
      </w:r>
      <w:r>
        <w:rPr>
          <w:rStyle w:val="CharStyle16"/>
          <w:lang w:val="en-US" w:eastAsia="en-US"/>
        </w:rPr>
        <w:t xml:space="preserve">99, 106 </w:t>
      </w:r>
      <w:r>
        <w:rPr>
          <w:rStyle w:val="CharStyle16"/>
        </w:rPr>
        <w:t>Закона о контрактной системе, Комиссия Ивановского УФАС России</w:t>
      </w:r>
    </w:p>
    <w:p>
      <w:pPr>
        <w:pStyle w:val="Style15"/>
        <w:keepNext w:val="0"/>
        <w:keepLines w:val="0"/>
        <w:widowControl w:val="0"/>
        <w:shd w:val="clear" w:color="auto" w:fill="auto"/>
        <w:bidi w:val="0"/>
        <w:spacing w:before="0" w:after="0" w:line="254" w:lineRule="auto"/>
        <w:ind w:left="0" w:right="0" w:firstLine="0"/>
        <w:jc w:val="center"/>
      </w:pPr>
      <w:r>
        <w:rPr>
          <w:rStyle w:val="CharStyle16"/>
        </w:rPr>
        <w:t>Р Е Ш И Л А:</w:t>
      </w:r>
    </w:p>
    <w:p>
      <w:pPr>
        <w:pStyle w:val="Style15"/>
        <w:keepNext w:val="0"/>
        <w:keepLines w:val="0"/>
        <w:widowControl w:val="0"/>
        <w:numPr>
          <w:ilvl w:val="0"/>
          <w:numId w:val="5"/>
        </w:numPr>
        <w:shd w:val="clear" w:color="auto" w:fill="auto"/>
        <w:tabs>
          <w:tab w:pos="1370" w:val="left"/>
        </w:tabs>
        <w:bidi w:val="0"/>
        <w:spacing w:before="0" w:after="0" w:line="254" w:lineRule="auto"/>
        <w:ind w:left="0" w:right="0" w:firstLine="1100"/>
        <w:jc w:val="both"/>
      </w:pPr>
      <w:r>
        <w:rPr>
          <w:rStyle w:val="CharStyle16"/>
        </w:rPr>
        <w:t xml:space="preserve">Признать жалобу ООО «СИНАПС» на действия ФГБОУ ВО «Ивановский государственный университет им. В.И. Ленина» при проведении запроса котировок в электронной форме на поставку ультразвукового детектора для нужд ИГЭУ (извещение </w:t>
      </w:r>
      <w:r>
        <w:rPr>
          <w:rStyle w:val="CharStyle16"/>
          <w:lang w:val="en-US" w:eastAsia="en-US"/>
        </w:rPr>
        <w:t xml:space="preserve">№0333100006726000037) </w:t>
      </w:r>
      <w:r>
        <w:rPr>
          <w:rStyle w:val="CharStyle16"/>
        </w:rPr>
        <w:t>обоснованной.</w:t>
      </w:r>
    </w:p>
    <w:p>
      <w:pPr>
        <w:pStyle w:val="Style15"/>
        <w:keepNext w:val="0"/>
        <w:keepLines w:val="0"/>
        <w:widowControl w:val="0"/>
        <w:numPr>
          <w:ilvl w:val="0"/>
          <w:numId w:val="5"/>
        </w:numPr>
        <w:shd w:val="clear" w:color="auto" w:fill="auto"/>
        <w:tabs>
          <w:tab w:pos="1366" w:val="left"/>
        </w:tabs>
        <w:bidi w:val="0"/>
        <w:spacing w:before="0" w:after="0" w:line="254" w:lineRule="auto"/>
        <w:ind w:left="0" w:right="0" w:firstLine="1100"/>
        <w:jc w:val="both"/>
      </w:pPr>
      <w:r>
        <w:rPr>
          <w:rStyle w:val="CharStyle16"/>
        </w:rPr>
        <w:t xml:space="preserve">Установить в действиях Заказчика нарушение п. </w:t>
      </w:r>
      <w:r>
        <w:rPr>
          <w:rStyle w:val="CharStyle16"/>
          <w:lang w:val="en-US" w:eastAsia="en-US"/>
        </w:rPr>
        <w:t xml:space="preserve">1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 xml:space="preserve">п. </w:t>
      </w:r>
      <w:r>
        <w:rPr>
          <w:rStyle w:val="CharStyle16"/>
          <w:lang w:val="en-US" w:eastAsia="en-US"/>
        </w:rPr>
        <w:t xml:space="preserve">1 </w:t>
      </w:r>
      <w:r>
        <w:rPr>
          <w:rStyle w:val="CharStyle16"/>
        </w:rPr>
        <w:t xml:space="preserve">ч. </w:t>
      </w:r>
      <w:r>
        <w:rPr>
          <w:rStyle w:val="CharStyle16"/>
          <w:lang w:val="en-US" w:eastAsia="en-US"/>
        </w:rPr>
        <w:t xml:space="preserve">2 </w:t>
      </w:r>
      <w:r>
        <w:rPr>
          <w:rStyle w:val="CharStyle16"/>
        </w:rPr>
        <w:t xml:space="preserve">ст. </w:t>
      </w:r>
      <w:r>
        <w:rPr>
          <w:rStyle w:val="CharStyle16"/>
          <w:lang w:val="en-US" w:eastAsia="en-US"/>
        </w:rPr>
        <w:t xml:space="preserve">42 </w:t>
      </w:r>
      <w:r>
        <w:rPr>
          <w:rStyle w:val="CharStyle16"/>
        </w:rPr>
        <w:t>Закона о контрактной системе.</w:t>
      </w:r>
    </w:p>
    <w:p>
      <w:pPr>
        <w:pStyle w:val="Style15"/>
        <w:keepNext w:val="0"/>
        <w:keepLines w:val="0"/>
        <w:widowControl w:val="0"/>
        <w:numPr>
          <w:ilvl w:val="0"/>
          <w:numId w:val="5"/>
        </w:numPr>
        <w:shd w:val="clear" w:color="auto" w:fill="auto"/>
        <w:tabs>
          <w:tab w:pos="1366" w:val="left"/>
        </w:tabs>
        <w:bidi w:val="0"/>
        <w:spacing w:before="0" w:after="0" w:line="254" w:lineRule="auto"/>
        <w:ind w:left="0" w:right="0" w:firstLine="1100"/>
        <w:jc w:val="both"/>
      </w:pPr>
      <w:r>
        <w:rPr>
          <w:rStyle w:val="CharStyle16"/>
        </w:rPr>
        <w:t xml:space="preserve">Предписание об устранении нарушений законодательства о контрактной системе не выдавать, в связи с выданным предписанием по жалобе ООО «Сфера мониторинга и диагностики» от </w:t>
      </w:r>
      <w:r>
        <w:rPr>
          <w:rStyle w:val="CharStyle16"/>
          <w:lang w:val="en-US" w:eastAsia="en-US"/>
        </w:rPr>
        <w:t>12.03.2026.</w:t>
      </w:r>
    </w:p>
    <w:p>
      <w:pPr>
        <w:pStyle w:val="Style15"/>
        <w:keepNext w:val="0"/>
        <w:keepLines w:val="0"/>
        <w:widowControl w:val="0"/>
        <w:numPr>
          <w:ilvl w:val="0"/>
          <w:numId w:val="5"/>
        </w:numPr>
        <w:shd w:val="clear" w:color="auto" w:fill="auto"/>
        <w:tabs>
          <w:tab w:pos="1366" w:val="left"/>
        </w:tabs>
        <w:bidi w:val="0"/>
        <w:spacing w:before="0" w:after="260" w:line="254" w:lineRule="auto"/>
        <w:ind w:left="0" w:right="0" w:firstLine="1100"/>
        <w:jc w:val="both"/>
      </w:pPr>
      <w:r>
        <w:rPr>
          <w:rStyle w:val="CharStyle16"/>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5"/>
        <w:keepNext w:val="0"/>
        <w:keepLines w:val="0"/>
        <w:widowControl w:val="0"/>
        <w:shd w:val="clear" w:color="auto" w:fill="auto"/>
        <w:bidi w:val="0"/>
        <w:spacing w:before="0" w:after="0" w:line="254" w:lineRule="auto"/>
        <w:ind w:left="0" w:right="0" w:firstLine="800"/>
        <w:jc w:val="both"/>
      </w:pPr>
      <w:r>
        <w:rPr>
          <w:rStyle w:val="CharStyle16"/>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06" w:right="207" w:bottom="1128" w:left="1004" w:header="0" w:footer="3" w:gutter="0"/>
          <w:cols w:space="720"/>
          <w:noEndnote/>
          <w:rtlGutter w:val="0"/>
          <w:docGrid w:linePitch="360"/>
        </w:sectPr>
      </w:pPr>
      <w:r>
        <mc:AlternateContent>
          <mc:Choice Requires="wps">
            <w:drawing>
              <wp:anchor distT="101600" distB="194945" distL="0" distR="0" simplePos="0" relativeHeight="125829378" behindDoc="0" locked="0" layoutInCell="1" allowOverlap="1">
                <wp:simplePos x="0" y="0"/>
                <wp:positionH relativeFrom="page">
                  <wp:posOffset>725805</wp:posOffset>
                </wp:positionH>
                <wp:positionV relativeFrom="paragraph">
                  <wp:posOffset>101600</wp:posOffset>
                </wp:positionV>
                <wp:extent cx="1871345" cy="250190"/>
                <wp:wrapTopAndBottom/>
                <wp:docPr id="4" name="Shape 4"/>
                <a:graphic xmlns:a="http://schemas.openxmlformats.org/drawingml/2006/main">
                  <a:graphicData uri="http://schemas.microsoft.com/office/word/2010/wordprocessingShape">
                    <wps:wsp>
                      <wps:cNvSpPr txBox="1"/>
                      <wps:spPr>
                        <a:xfrm>
                          <a:ext cx="187134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Председатель комиссии:</w:t>
                            </w:r>
                          </w:p>
                        </w:txbxContent>
                      </wps:txbx>
                      <wps:bodyPr wrap="none" lIns="0" tIns="0" rIns="0" bIns="0">
                        <a:noAutoFit/>
                      </wps:bodyPr>
                    </wps:wsp>
                  </a:graphicData>
                </a:graphic>
              </wp:anchor>
            </w:drawing>
          </mc:Choice>
          <mc:Fallback>
            <w:pict>
              <v:shape id="_x0000_s1030" type="#_x0000_t202" style="position:absolute;margin-left:57.149999999999999pt;margin-top:8.pt;width:147.34999999999999pt;height:19.699999999999999pt;z-index:-125829375;mso-wrap-distance-left:0;mso-wrap-distance-top:8.pt;mso-wrap-distance-right:0;mso-wrap-distance-bottom:15.3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Председатель комиссии:</w:t>
                      </w:r>
                    </w:p>
                  </w:txbxContent>
                </v:textbox>
                <w10:wrap type="topAndBottom" anchorx="page"/>
              </v:shape>
            </w:pict>
          </mc:Fallback>
        </mc:AlternateContent>
      </w:r>
      <w:r>
        <w:drawing>
          <wp:anchor distT="201930" distB="635" distL="0" distR="1816735" simplePos="0" relativeHeight="125829380" behindDoc="0" locked="0" layoutInCell="1" allowOverlap="1">
            <wp:simplePos x="0" y="0"/>
            <wp:positionH relativeFrom="page">
              <wp:posOffset>2673350</wp:posOffset>
            </wp:positionH>
            <wp:positionV relativeFrom="paragraph">
              <wp:posOffset>201930</wp:posOffset>
            </wp:positionV>
            <wp:extent cx="298450" cy="34734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3063240</wp:posOffset>
                </wp:positionH>
                <wp:positionV relativeFrom="paragraph">
                  <wp:posOffset>262890</wp:posOffset>
                </wp:positionV>
                <wp:extent cx="1722120" cy="259080"/>
                <wp:wrapNone/>
                <wp:docPr id="8" name="Shape 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4" type="#_x0000_t202" style="position:absolute;margin-left:241.20000000000002pt;margin-top:20.699999999999999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194945" distL="0" distR="0" simplePos="0" relativeHeight="125829381" behindDoc="0" locked="0" layoutInCell="1" allowOverlap="1">
                <wp:simplePos x="0" y="0"/>
                <wp:positionH relativeFrom="page">
                  <wp:posOffset>6083935</wp:posOffset>
                </wp:positionH>
                <wp:positionV relativeFrom="paragraph">
                  <wp:posOffset>101600</wp:posOffset>
                </wp:positionV>
                <wp:extent cx="1090930" cy="250190"/>
                <wp:wrapTopAndBottom/>
                <wp:docPr id="10" name="Shape 10"/>
                <a:graphic xmlns:a="http://schemas.openxmlformats.org/drawingml/2006/main">
                  <a:graphicData uri="http://schemas.microsoft.com/office/word/2010/wordprocessingShape">
                    <wps:wsp>
                      <wps:cNvSpPr txBox="1"/>
                      <wps:spPr>
                        <a:xfrm>
                          <a:ext cx="109093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Е.Е. Чугунова</w:t>
                            </w:r>
                          </w:p>
                        </w:txbxContent>
                      </wps:txbx>
                      <wps:bodyPr wrap="none" lIns="0" tIns="0" rIns="0" bIns="0">
                        <a:noAutoFit/>
                      </wps:bodyPr>
                    </wps:wsp>
                  </a:graphicData>
                </a:graphic>
              </wp:anchor>
            </w:drawing>
          </mc:Choice>
          <mc:Fallback>
            <w:pict>
              <v:shape id="_x0000_s1036" type="#_x0000_t202" style="position:absolute;margin-left:479.05000000000001pt;margin-top:8.pt;width:85.900000000000006pt;height:19.699999999999999pt;z-index:-125829372;mso-wrap-distance-left:0;mso-wrap-distance-top:8.pt;mso-wrap-distance-right:0;mso-wrap-distance-bottom:15.3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Е.Е. Чугунова</w:t>
                      </w:r>
                    </w:p>
                  </w:txbxContent>
                </v:textbox>
                <w10:wrap type="topAndBottom" anchorx="page"/>
              </v:shape>
            </w:pict>
          </mc:Fallback>
        </mc:AlternateConten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Чугунова Елена Евгеньевна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00Е1</w:t>
      </w:r>
      <w:r>
        <w:rPr>
          <w:rStyle w:val="CharStyle33"/>
          <w:lang w:val="en-US" w:eastAsia="en-US"/>
        </w:rPr>
        <w:t>A58603CE8A9F7701D0249DC208EAF</w:t>
      </w:r>
      <w:r>
        <w:rPr>
          <w:rStyle w:val="CharStyle33"/>
          <w:lang w:val="en-US" w:eastAsia="en-US"/>
        </w:rPr>
        <w:t>D</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Действителен с 05.06.2025 </w:t>
      </w:r>
      <w:r>
        <w:rPr>
          <w:rStyle w:val="CharStyle33"/>
          <w:color w:val="5E5E5E"/>
        </w:rPr>
        <w:t xml:space="preserve">по </w:t>
      </w:r>
      <w:r>
        <w:rPr>
          <w:rStyle w:val="CharStyle33"/>
        </w:rPr>
        <w:t>29.08.2026</w:t>
      </w:r>
    </w:p>
    <w:p>
      <w:pPr>
        <w:pStyle w:val="Style15"/>
        <w:keepNext w:val="0"/>
        <w:keepLines w:val="0"/>
        <w:widowControl w:val="0"/>
        <w:shd w:val="clear" w:color="auto" w:fill="auto"/>
        <w:bidi w:val="0"/>
        <w:spacing w:before="0" w:after="100" w:line="240" w:lineRule="auto"/>
        <w:ind w:left="0" w:right="0" w:firstLine="0"/>
        <w:jc w:val="left"/>
        <w:rPr>
          <w:sz w:val="28"/>
          <w:szCs w:val="28"/>
        </w:rPr>
      </w:pPr>
      <w:r>
        <w:rPr>
          <w:rStyle w:val="CharStyle16"/>
          <w:sz w:val="28"/>
          <w:szCs w:val="28"/>
        </w:rPr>
        <w:t>Члены комиссии:</w:t>
      </w:r>
    </w:p>
    <w:p>
      <w:pPr>
        <w:pStyle w:val="Style15"/>
        <w:keepNext w:val="0"/>
        <w:keepLines w:val="0"/>
        <w:widowControl w:val="0"/>
        <w:shd w:val="clear" w:color="auto" w:fill="auto"/>
        <w:bidi w:val="0"/>
        <w:spacing w:before="0" w:after="270" w:line="240" w:lineRule="auto"/>
        <w:ind w:left="0" w:right="0" w:firstLine="0"/>
        <w:jc w:val="right"/>
        <w:rPr>
          <w:sz w:val="28"/>
          <w:szCs w:val="28"/>
        </w:rPr>
      </w:pPr>
      <w:r>
        <w:drawing>
          <wp:anchor distT="0" distB="0" distL="114300" distR="1931035" simplePos="0" relativeHeight="125829383" behindDoc="0" locked="0" layoutInCell="1" allowOverlap="1">
            <wp:simplePos x="0" y="0"/>
            <wp:positionH relativeFrom="page">
              <wp:posOffset>2673350</wp:posOffset>
            </wp:positionH>
            <wp:positionV relativeFrom="paragraph">
              <wp:posOffset>25400</wp:posOffset>
            </wp:positionV>
            <wp:extent cx="298450" cy="347345"/>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3063240</wp:posOffset>
                </wp:positionH>
                <wp:positionV relativeFrom="paragraph">
                  <wp:posOffset>86360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1.20000000000002pt;margin-top:6.7999999999999998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sz w:val="28"/>
          <w:szCs w:val="28"/>
        </w:rPr>
        <w:t>М.В. Крутова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Крутова Марина Владимировна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00AE644FF59C601</w:t>
      </w:r>
      <w:r>
        <w:rPr>
          <w:rStyle w:val="CharStyle33"/>
        </w:rPr>
        <w:t>36291</w:t>
      </w:r>
      <w:r>
        <w:rPr>
          <w:rStyle w:val="CharStyle33"/>
          <w:lang w:val="en-US" w:eastAsia="en-US"/>
        </w:rPr>
        <w:t>BF0B3C35A04941</w:t>
      </w:r>
    </w:p>
    <w:p>
      <w:pPr>
        <w:pStyle w:val="Style32"/>
        <w:keepNext w:val="0"/>
        <w:keepLines w:val="0"/>
        <w:widowControl w:val="0"/>
        <w:shd w:val="clear" w:color="auto" w:fill="auto"/>
        <w:bidi w:val="0"/>
        <w:spacing w:before="0" w:after="380" w:line="240" w:lineRule="auto"/>
        <w:ind w:right="0" w:firstLine="0"/>
        <w:jc w:val="left"/>
      </w:pPr>
      <w:r>
        <w:rPr>
          <w:rStyle w:val="CharStyle33"/>
        </w:rPr>
        <w:t xml:space="preserve">Действителен с 11.02.2025 </w:t>
      </w:r>
      <w:r>
        <w:rPr>
          <w:rStyle w:val="CharStyle33"/>
          <w:color w:val="5E5E5E"/>
        </w:rPr>
        <w:t xml:space="preserve">по </w:t>
      </w:r>
      <w:r>
        <w:rPr>
          <w:rStyle w:val="CharStyle33"/>
        </w:rPr>
        <w:t>07.05.2026</w:t>
      </w:r>
    </w:p>
    <w:p>
      <w:pPr>
        <w:pStyle w:val="Style15"/>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31035" simplePos="0" relativeHeight="125829384" behindDoc="0" locked="0" layoutInCell="1" allowOverlap="1">
            <wp:simplePos x="0" y="0"/>
            <wp:positionH relativeFrom="page">
              <wp:posOffset>2673350</wp:posOffset>
            </wp:positionH>
            <wp:positionV relativeFrom="paragraph">
              <wp:posOffset>88900</wp:posOffset>
            </wp:positionV>
            <wp:extent cx="298450" cy="347345"/>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3063240</wp:posOffset>
                </wp:positionH>
                <wp:positionV relativeFrom="paragraph">
                  <wp:posOffset>149860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1.20000000000002pt;margin-top:11.800000000000001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sz w:val="28"/>
          <w:szCs w:val="28"/>
        </w:rPr>
        <w:t>Ю.К. Жданкина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Жданкина Юлия Константиновна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0489C4D00A363D6748F1FFAED9566C9F</w:t>
      </w:r>
    </w:p>
    <w:p>
      <w:pPr>
        <w:pStyle w:val="Style32"/>
        <w:keepNext w:val="0"/>
        <w:keepLines w:val="0"/>
        <w:widowControl w:val="0"/>
        <w:shd w:val="clear" w:color="auto" w:fill="auto"/>
        <w:bidi w:val="0"/>
        <w:spacing w:before="0" w:after="100" w:line="240" w:lineRule="auto"/>
        <w:ind w:right="0" w:firstLine="0"/>
        <w:jc w:val="left"/>
      </w:pPr>
      <w:r>
        <w:rPr>
          <w:rStyle w:val="CharStyle33"/>
        </w:rPr>
        <w:t xml:space="preserve">Действителен с 12.05.2025 </w:t>
      </w:r>
      <w:r>
        <w:rPr>
          <w:rStyle w:val="CharStyle33"/>
          <w:color w:val="5E5E5E"/>
        </w:rPr>
        <w:t xml:space="preserve">по </w:t>
      </w:r>
      <w:r>
        <w:rPr>
          <w:rStyle w:val="CharStyle33"/>
        </w:rPr>
        <w:t>05.08.2026</w:t>
      </w:r>
    </w:p>
    <w:sectPr>
      <w:footnotePr>
        <w:pos w:val="pageBottom"/>
        <w:numFmt w:val="decimal"/>
        <w:numRestart w:val="continuous"/>
      </w:footnotePr>
      <w:type w:val="continuous"/>
      <w:pgSz w:w="11900" w:h="16840"/>
      <w:pgMar w:top="1110" w:right="541" w:bottom="1110"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9851390</wp:posOffset>
              </wp:positionV>
              <wp:extent cx="655320" cy="128270"/>
              <wp:wrapNone/>
              <wp:docPr id="2" name="Shape 2"/>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2026-1069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25pt;margin-top:775.7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2026-1069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20"/>
      <w:szCs w:val="20"/>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 (6)_"/>
    <w:basedOn w:val="DefaultParagraphFont"/>
    <w:link w:val="Style13"/>
    <w:rPr>
      <w:rFonts w:ascii="Times New Roman" w:eastAsia="Times New Roman" w:hAnsi="Times New Roman" w:cs="Times New Roman"/>
      <w:b w:val="0"/>
      <w:bCs w:val="0"/>
      <w:i w:val="0"/>
      <w:iCs w:val="0"/>
      <w:smallCaps w:val="0"/>
      <w:strike w:val="0"/>
      <w:color w:val="476198"/>
      <w:sz w:val="18"/>
      <w:szCs w:val="1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w w:val="50"/>
      <w:sz w:val="68"/>
      <w:szCs w:val="68"/>
      <w:u w:val="none"/>
      <w:lang w:val="en-US" w:eastAsia="en-US"/>
    </w:rPr>
  </w:style>
  <w:style w:type="character" w:customStyle="1" w:styleId="CharStyle25">
    <w:name w:val="Table caption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Other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character" w:customStyle="1" w:styleId="CharStyle31">
    <w:name w:val="Body text (4)_"/>
    <w:basedOn w:val="DefaultParagraphFont"/>
    <w:link w:val="Style30"/>
    <w:rPr>
      <w:rFonts w:ascii="Georgia" w:eastAsia="Georgia" w:hAnsi="Georgia" w:cs="Georgia"/>
      <w:b w:val="0"/>
      <w:bCs w:val="0"/>
      <w:i w:val="0"/>
      <w:iCs w:val="0"/>
      <w:smallCaps w:val="0"/>
      <w:strike w:val="0"/>
      <w:color w:val="EBEBEB"/>
      <w:sz w:val="12"/>
      <w:szCs w:val="12"/>
      <w:u w:val="none"/>
    </w:rPr>
  </w:style>
  <w:style w:type="character" w:customStyle="1" w:styleId="CharStyle33">
    <w:name w:val="Body text (2)_"/>
    <w:basedOn w:val="DefaultParagraphFont"/>
    <w:link w:val="Style32"/>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20"/>
      <w:szCs w:val="20"/>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Body text (6)"/>
    <w:basedOn w:val="Normal"/>
    <w:link w:val="CharStyle14"/>
    <w:pPr>
      <w:widowControl w:val="0"/>
      <w:shd w:val="clear" w:color="auto" w:fill="auto"/>
      <w:spacing w:line="264" w:lineRule="auto"/>
      <w:jc w:val="center"/>
    </w:pPr>
    <w:rPr>
      <w:rFonts w:ascii="Times New Roman" w:eastAsia="Times New Roman" w:hAnsi="Times New Roman" w:cs="Times New Roman"/>
      <w:b w:val="0"/>
      <w:bCs w:val="0"/>
      <w:i w:val="0"/>
      <w:iCs w:val="0"/>
      <w:smallCaps w:val="0"/>
      <w:strike w:val="0"/>
      <w:color w:val="476198"/>
      <w:sz w:val="18"/>
      <w:szCs w:val="18"/>
      <w:u w:val="none"/>
    </w:rPr>
  </w:style>
  <w:style w:type="paragraph" w:styleId="Style15">
    <w:name w:val="Body text"/>
    <w:basedOn w:val="Normal"/>
    <w:link w:val="CharStyle16"/>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Heading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w w:val="50"/>
      <w:sz w:val="68"/>
      <w:szCs w:val="68"/>
      <w:u w:val="none"/>
      <w:lang w:val="en-US" w:eastAsia="en-US"/>
    </w:rPr>
  </w:style>
  <w:style w:type="paragraph" w:customStyle="1" w:styleId="Style24">
    <w:name w:val="Table caption"/>
    <w:basedOn w:val="Normal"/>
    <w:link w:val="CharStyle25"/>
    <w:pPr>
      <w:widowControl w:val="0"/>
      <w:shd w:val="clear" w:color="auto" w:fill="auto"/>
      <w:spacing w:line="254" w:lineRule="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Other"/>
    <w:basedOn w:val="Normal"/>
    <w:link w:val="CharStyle27"/>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0">
    <w:name w:val="Body text (4)"/>
    <w:basedOn w:val="Normal"/>
    <w:link w:val="CharStyle31"/>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32">
    <w:name w:val="Body text (2)"/>
    <w:basedOn w:val="Normal"/>
    <w:link w:val="CharStyle33"/>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