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26.02.2026</w:t>
      </w:r>
      <w:r>
        <w:fldChar w:fldCharType="end"/>
      </w:r>
      <w:r>
        <w:rPr>
          <w:rStyle w:val="CharStyle10"/>
        </w:rPr>
        <w:tab/>
        <w:t>№ 7394/26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ГКУ «Дирекция ЖКХиБ ТиНАО»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"mailto:FilinaAV1@tinao.mos.ru" </w:instrText>
      </w:r>
      <w:r>
        <w:fldChar w:fldCharType="separate"/>
      </w:r>
      <w:r>
        <w:rPr>
          <w:rStyle w:val="CharStyle12"/>
          <w:lang w:val="en-US" w:eastAsia="en-US"/>
        </w:rPr>
        <w:t>FilinaAV1@tinao.mos.ru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Хайрулов Р.А.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"mailto:hotsil@yandex.ru" </w:instrText>
      </w:r>
      <w:r>
        <w:fldChar w:fldCharType="separate"/>
      </w:r>
      <w:r>
        <w:rPr>
          <w:rStyle w:val="CharStyle12"/>
          <w:lang w:val="en-US" w:eastAsia="en-US"/>
        </w:rPr>
        <w:t>hotsil@yandex.ru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АО«ЕЭТП»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90" w:bottom="708" w:left="1274" w:header="0" w:footer="3" w:gutter="0"/>
          <w:pgNumType w:start="1"/>
          <w:cols w:num="2" w:space="1027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63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077/06/105-2036/2026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20.02.2026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А.И.Рахматуллаева,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участии представителя ГКУ «Дирекция ЖКХиБ ТиНАО»: Трушаниной А.В. (дов.№б/н от </w:t>
      </w:r>
      <w:r>
        <w:rPr>
          <w:rStyle w:val="CharStyle12"/>
          <w:lang w:val="en-US" w:eastAsia="en-US"/>
        </w:rPr>
        <w:t>19.02.2026),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ИП Хайрулов Р.А. (лично),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ИП Хайрулов Р.А.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Заявитель) на действия ГКУ «Дирекция ЖКХиБ ТиНАО»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телефонных аппаратов </w:t>
      </w:r>
      <w:r>
        <w:rPr>
          <w:rStyle w:val="CharStyle12"/>
          <w:lang w:val="en-US" w:eastAsia="en-US"/>
        </w:rPr>
        <w:t xml:space="preserve">IP </w:t>
      </w:r>
      <w:r>
        <w:rPr>
          <w:rStyle w:val="CharStyle12"/>
        </w:rPr>
        <w:t xml:space="preserve">для нужд ГКУ «Дирекция ЖКХиБ ТиНАО» в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 xml:space="preserve">году (Закупка </w:t>
      </w:r>
      <w:r>
        <w:rPr>
          <w:rStyle w:val="CharStyle12"/>
          <w:lang w:val="en-US" w:eastAsia="en-US"/>
        </w:rPr>
        <w:t xml:space="preserve">№ 0873500002326000023)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запрос котировок),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228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228600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71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4" w:bottom="632" w:left="1109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</w:t>
      </w:r>
      <w:r>
        <w:rPr>
          <w:rStyle w:val="CharStyle12"/>
          <w:sz w:val="24"/>
          <w:szCs w:val="24"/>
          <w:lang w:val="en-US" w:eastAsia="en-US"/>
        </w:rPr>
        <w:t>2026-8618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осуществлении закупочной процедуры должен обладать документальным подтверждением соответствия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В составе жалобы Заявитель указывает, что совокупности установленных параметров к закупаемым товарам по п.«Терминал </w:t>
      </w:r>
      <w:r>
        <w:rPr>
          <w:rStyle w:val="CharStyle12"/>
          <w:lang w:val="en-US" w:eastAsia="en-US"/>
        </w:rPr>
        <w:t xml:space="preserve">IP </w:t>
      </w:r>
      <w:r>
        <w:rPr>
          <w:rStyle w:val="CharStyle12"/>
        </w:rPr>
        <w:t xml:space="preserve">телефонии», соответствует товар единственного производителя, а именно: </w:t>
      </w:r>
      <w:r>
        <w:rPr>
          <w:rStyle w:val="CharStyle12"/>
          <w:lang w:val="en-US" w:eastAsia="en-US"/>
        </w:rPr>
        <w:t xml:space="preserve">Yealink SIP- T53, </w:t>
      </w:r>
      <w:r>
        <w:rPr>
          <w:rStyle w:val="CharStyle12"/>
        </w:rPr>
        <w:t>при этом ограничивающими требованиями являются следующие характеристики в описании объекта закупки: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  <w:i/>
          <w:iCs/>
        </w:rPr>
        <w:t xml:space="preserve">«Конструктивные особенности дисплея </w:t>
      </w:r>
      <w:r>
        <w:rPr>
          <w:rStyle w:val="CharStyle12"/>
          <w:i/>
          <w:iCs/>
          <w:lang w:val="en-US" w:eastAsia="en-US"/>
        </w:rPr>
        <w:t xml:space="preserve">1: </w:t>
      </w:r>
      <w:r>
        <w:rPr>
          <w:rStyle w:val="CharStyle12"/>
          <w:i/>
          <w:iCs/>
        </w:rPr>
        <w:t>Монохромный»;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2"/>
          <w:i/>
          <w:iCs/>
        </w:rPr>
        <w:t xml:space="preserve">«Размер дисплея </w:t>
      </w:r>
      <w:r>
        <w:rPr>
          <w:rStyle w:val="CharStyle12"/>
          <w:i/>
          <w:iCs/>
          <w:lang w:val="en-US" w:eastAsia="en-US"/>
        </w:rPr>
        <w:t xml:space="preserve">1: ≥ 3.7 </w:t>
      </w:r>
      <w:r>
        <w:rPr>
          <w:rStyle w:val="CharStyle12"/>
          <w:i/>
          <w:iCs/>
        </w:rPr>
        <w:t xml:space="preserve">Дюйм </w:t>
      </w:r>
      <w:r>
        <w:rPr>
          <w:rStyle w:val="CharStyle12"/>
          <w:i/>
          <w:iCs/>
          <w:lang w:val="en-US" w:eastAsia="en-US"/>
        </w:rPr>
        <w:t xml:space="preserve">(25,4 </w:t>
      </w:r>
      <w:r>
        <w:rPr>
          <w:rStyle w:val="CharStyle12"/>
          <w:i/>
          <w:iCs/>
        </w:rPr>
        <w:t>мм)»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участники закупки могут предложить в составе заявки телефоны с улучшенными характеристиками, а именно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имеющие цветной дисплей.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Вместе с тем Комиссии Управления считает необходимым отметить, что участникам закупки не представляется возможным на этапе подачи заявки предложить к поставке товар с цветным дисплеем поскольку в описании объекта закупки Заказчиком такой вариант цветности не предусмотрен.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Таким образом, в рамках рассмотрения данной жалобы Заказчиком не представлено каких-либо документов и сведений, опровергающих доводы жалобы в отношении закупаемых товаров или подтверждающих, что требованиям соответствует продукция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Также в рамках рассмотрения данной жалобы Заказчиком не представлено документов и сведений подтверждающих, что в данном случае к закупке применимы условия отраженные в 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На основании вышеизложенного, Комиссия Управления приходит к выводу об обоснованности довода жалобы и о нарушении Заказчиком положений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Признать жалобу ИП Хайрулов Р.А. на действия ГКУ «Дирекция ЖКХиБ ТиНАО»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Признать в действиях Заказчика нарушения п.1 ч.1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260" w:line="240" w:lineRule="auto"/>
        <w:ind w:left="0" w:right="0" w:firstLine="68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1757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5900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149999999999999pt;margin-top:26.pt;width:145.20000000000002pt;height:19.699999999999999pt;z-index:-125829374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1160" distB="0" distL="0" distR="1786255" simplePos="0" relativeHeight="125829381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391160</wp:posOffset>
            </wp:positionV>
            <wp:extent cx="359410" cy="40830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488950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75pt;margin-top:38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5900" distL="0" distR="0" simplePos="0" relativeHeight="125829382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8.85000000000002pt;margin-top:26.pt;width:89.5pt;height:19.699999999999999pt;z-index:-125829371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65656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85000000000002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69999999999999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4CD6CEE3BFCC667C3F01A1FC3672B858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5977890</wp:posOffset>
                </wp:positionH>
                <wp:positionV relativeFrom="paragraph">
                  <wp:posOffset>457200</wp:posOffset>
                </wp:positionV>
                <wp:extent cx="1240790" cy="250190"/>
                <wp:wrapSquare wrapText="bothSides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0.69999999999999pt;margin-top:36.pt;width:97.700000000000003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М.В. Сорбучева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3"/>
        </w:rPr>
        <w:t xml:space="preserve">Действителен с 09.02.2026 </w:t>
      </w:r>
      <w:r>
        <w:rPr>
          <w:rStyle w:val="CharStyle23"/>
          <w:color w:val="565656"/>
        </w:rPr>
        <w:t>по 05.05.2027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6EBF6CE6C27B6345D47DBCD40C7FA5FD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rStyle w:val="CharStyle23"/>
        </w:rPr>
        <w:t xml:space="preserve">Действителен с 19.09.2025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13.12.2026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6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64643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2026-8618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0.8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2026-8618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6464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2026-8618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149999999999999pt;margin-top:794.70000000000005pt;width:50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2026-8618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228600</wp:posOffset>
              </wp:positionV>
              <wp:extent cx="7302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18.pt;width:5.7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5000000000003pt;margin-top:37.5pt;width:5.7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