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385" w:right="536" w:bottom="943" w:left="1111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25400</wp:posOffset>
                </wp:positionV>
                <wp:extent cx="2658110" cy="218567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58110" cy="2185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Нижегородской области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пл. Горького, 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г. Нижний Новгород, 603000</w:t>
                              <w:br/>
                              <w:t>тел. (831) 431-73-73, (831) 431-73-83</w:t>
                              <w:br/>
                            </w:r>
                            <w:r>
                              <w:rPr>
                                <w:rStyle w:val="CharStyle6"/>
                                <w:u w:val="single"/>
                                <w:lang w:val="en-US" w:eastAsia="en-US"/>
                              </w:rPr>
                              <w:t xml:space="preserve">e-mail: to52@,fas, </w:t>
                            </w:r>
                            <w:r>
                              <w:rPr>
                                <w:rStyle w:val="CharStyle6"/>
                                <w:u w:val="single"/>
                                <w:lang w:val="en-US" w:eastAsia="en-US"/>
                              </w:rPr>
                              <w:t>gov.ru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0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0"/>
                              </w:rPr>
                              <w:t>0.02.2026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10"/>
                              </w:rPr>
                              <w:t>№ ИБ/3391/26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75pt;margin-top:2.pt;width:209.30000000000001pt;height:172.09999999999999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6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Нижегородской области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пл. Горького, 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г. Нижний Новгород, 603000</w:t>
                        <w:br/>
                        <w:t>тел. (831) 431-73-73, (831) 431-73-83</w:t>
                        <w:br/>
                      </w:r>
                      <w:r>
                        <w:rPr>
                          <w:rStyle w:val="CharStyle6"/>
                          <w:u w:val="single"/>
                          <w:lang w:val="en-US" w:eastAsia="en-US"/>
                        </w:rPr>
                        <w:t xml:space="preserve">e-mail: to52@,fas, </w:t>
                      </w:r>
                      <w:r>
                        <w:rPr>
                          <w:rStyle w:val="CharStyle6"/>
                          <w:u w:val="single"/>
                          <w:lang w:val="en-US" w:eastAsia="en-US"/>
                        </w:rPr>
                        <w:t>gov.ru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0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0"/>
                        </w:rPr>
                        <w:t>0.02.2026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10"/>
                        </w:rPr>
                        <w:t>№ ИБ/3391/26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На №  от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2"/>
        </w:rPr>
        <w:t>ООО "Транс-НН"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12"/>
        </w:rPr>
        <w:t>603147, г. Нижний Новгород, ул. Веденяпина, д. 23, кв. 40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100" w:right="0" w:firstLine="0"/>
        <w:jc w:val="left"/>
      </w:pPr>
      <w:r>
        <w:fldChar w:fldCharType="begin"/>
      </w:r>
      <w:r>
        <w:rPr/>
        <w:instrText> HYPERLINK "mailto:gri4kowskij@yandex.ru" </w:instrText>
      </w:r>
      <w:r>
        <w:fldChar w:fldCharType="separate"/>
      </w:r>
      <w:r>
        <w:rPr>
          <w:rStyle w:val="CharStyle12"/>
          <w:lang w:val="en-US" w:eastAsia="en-US"/>
        </w:rPr>
        <w:t>gri4kowskij@yandex.ru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12"/>
        </w:rPr>
        <w:t>Государственное казенное учреждение нижегородской области "Центр развития транспортных систем"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12"/>
        </w:rPr>
        <w:t>603105, Нижегородская обл., г. Нижний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12"/>
        </w:rPr>
        <w:t>Новгород, Ошарская ул., д.63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100" w:right="0" w:firstLine="0"/>
        <w:jc w:val="left"/>
      </w:pPr>
      <w:r>
        <w:fldChar w:fldCharType="begin"/>
      </w:r>
      <w:r>
        <w:rPr/>
        <w:instrText> HYPERLINK "mailto:official@crts.52gov.ru" </w:instrText>
      </w:r>
      <w:r>
        <w:fldChar w:fldCharType="separate"/>
      </w:r>
      <w:r>
        <w:rPr>
          <w:rStyle w:val="CharStyle12"/>
          <w:lang w:val="en-US" w:eastAsia="en-US"/>
        </w:rPr>
        <w:t>official@crts.52gov.ru</w:t>
      </w:r>
      <w:r>
        <w:fldChar w:fldCharType="end"/>
      </w:r>
      <w:r>
        <w:rPr>
          <w:rStyle w:val="CharStyle12"/>
          <w:lang w:val="en-US" w:eastAsia="en-US"/>
        </w:rPr>
        <w:t xml:space="preserve"> </w:t>
      </w:r>
      <w:r>
        <w:fldChar w:fldCharType="begin"/>
      </w:r>
      <w:r>
        <w:rPr/>
        <w:instrText> HYPERLINK "mailto:cbddeconom@mail.ru" </w:instrText>
      </w:r>
      <w:r>
        <w:fldChar w:fldCharType="separate"/>
      </w:r>
      <w:r>
        <w:rPr>
          <w:rStyle w:val="CharStyle12"/>
          <w:lang w:val="en-US" w:eastAsia="en-US"/>
        </w:rPr>
        <w:t>cbddeconom@mail.ru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12"/>
        </w:rPr>
        <w:t>Государственное казенное учреждение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1357630</wp:posOffset>
                </wp:positionH>
                <wp:positionV relativeFrom="paragraph">
                  <wp:posOffset>279400</wp:posOffset>
                </wp:positionV>
                <wp:extent cx="1344295" cy="39306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2"/>
                              </w:rPr>
                              <w:t>Решение по жалобе</w:t>
                              <w:br/>
                              <w:t>052/06/105-355/2026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06.90000000000001pt;margin-top:22.pt;width:105.85000000000001pt;height:30.94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2"/>
                        </w:rPr>
                        <w:t>Решение по жалобе</w:t>
                        <w:br/>
                        <w:t>052/06/105-355/2026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2"/>
        </w:rPr>
        <w:t>Нижегородской области "Центр размещения заказа Нижегородской области"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12"/>
        </w:rPr>
        <w:t>603082, город Нижний Новгород, Кремль,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12"/>
        </w:rPr>
        <w:t>корпус 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100" w:right="0" w:firstLine="0"/>
        <w:jc w:val="left"/>
      </w:pPr>
      <w:r>
        <w:fldChar w:fldCharType="begin"/>
      </w:r>
      <w:r>
        <w:rPr/>
        <w:instrText> HYPERLINK "mailto:crzno@mail.ru" </w:instrText>
      </w:r>
      <w:r>
        <w:fldChar w:fldCharType="separate"/>
      </w:r>
      <w:r>
        <w:rPr>
          <w:rStyle w:val="CharStyle12"/>
          <w:lang w:val="en-US" w:eastAsia="en-US"/>
        </w:rPr>
        <w:t>crzno@mail.ru</w:t>
      </w:r>
      <w:r>
        <w:fldChar w:fldCharType="end"/>
      </w:r>
      <w:r>
        <w:rPr>
          <w:rStyle w:val="CharStyle12"/>
          <w:lang w:val="en-US" w:eastAsia="en-US"/>
        </w:rPr>
        <w:t xml:space="preserve">, </w:t>
      </w:r>
      <w:r>
        <w:fldChar w:fldCharType="begin"/>
      </w:r>
      <w:r>
        <w:rPr/>
        <w:instrText> HYPERLINK "mailto:koe@konkurs.kreml.nnov.ru" </w:instrText>
      </w:r>
      <w:r>
        <w:fldChar w:fldCharType="separate"/>
      </w:r>
      <w:r>
        <w:rPr>
          <w:rStyle w:val="CharStyle12"/>
          <w:lang w:val="en-US" w:eastAsia="en-US"/>
        </w:rPr>
        <w:t>koe@konkurs.kreml.nnov.ru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12"/>
        </w:rPr>
        <w:t>ЭТП Газпромбанк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100" w:right="0" w:firstLine="0"/>
        <w:jc w:val="left"/>
      </w:pPr>
      <w:r>
        <w:rPr>
          <w:rStyle w:val="CharStyle12"/>
        </w:rPr>
        <w:t xml:space="preserve">117342, город Москва, Миклухо-Маклая улица, дом 40, подвал помещение </w:t>
      </w:r>
      <w:r>
        <w:rPr>
          <w:rStyle w:val="CharStyle12"/>
          <w:lang w:val="en-US" w:eastAsia="en-US"/>
        </w:rPr>
        <w:t xml:space="preserve">I </w:t>
      </w:r>
      <w:r>
        <w:rPr>
          <w:rStyle w:val="CharStyle12"/>
        </w:rPr>
        <w:t xml:space="preserve">ком 25 </w:t>
      </w: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2"/>
          <w:lang w:val="en-US" w:eastAsia="en-US"/>
        </w:rPr>
        <w:t>info@etpgpb.ru</w:t>
      </w:r>
      <w:r>
        <w:fldChar w:fldCharType="end"/>
      </w:r>
      <w:r>
        <w:rPr>
          <w:rStyle w:val="CharStyle12"/>
          <w:lang w:val="en-US" w:eastAsia="en-US"/>
        </w:rPr>
        <w:t xml:space="preserve">, </w:t>
      </w:r>
      <w:r>
        <w:fldChar w:fldCharType="begin"/>
      </w:r>
      <w:r>
        <w:rPr/>
        <w:instrText> HYPERLINK "mailto:marketing@etpgpb.ru" </w:instrText>
      </w:r>
      <w:r>
        <w:fldChar w:fldCharType="separate"/>
      </w:r>
      <w:r>
        <w:rPr>
          <w:rStyle w:val="CharStyle12"/>
          <w:lang w:val="en-US" w:eastAsia="en-US"/>
        </w:rPr>
        <w:t>marketing@etpgpb.ru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  <w:br/>
        <w:t>№052/06/105-355/2026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0</wp:posOffset>
                </wp:positionV>
                <wp:extent cx="1408430" cy="21971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84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20 февраля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550000000000004pt;margin-top:0;width:110.90000000000001pt;height:17.3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20 февраля 2026 года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2"/>
        </w:rPr>
        <w:t>город Нижний Новгород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-4220" w:right="0" w:firstLine="740"/>
        <w:jc w:val="left"/>
      </w:pP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2214245</wp:posOffset>
                </wp:positionH>
                <wp:positionV relativeFrom="paragraph">
                  <wp:posOffset>2882900</wp:posOffset>
                </wp:positionV>
                <wp:extent cx="4992370" cy="39306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2370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представителя ГКУ НО «Центр размещения заказа Нижегородской области» (по доверенности №2 от 09.01.2025),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74.34999999999999pt;margin-top:227.pt;width:393.10000000000002pt;height:30.949999999999999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представителя ГКУ НО «Центр размещения заказа Нижегородской области» (по доверенности №2 от 09.01.2025),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2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right"/>
        <w:tblLayout w:type="fixed"/>
      </w:tblPr>
      <w:tblGrid>
        <w:gridCol w:w="2050"/>
        <w:gridCol w:w="8189"/>
      </w:tblGrid>
      <w:tr>
        <w:trPr>
          <w:trHeight w:val="84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- Баранова И.В.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- Войновой М.К.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rStyle w:val="CharStyle17"/>
              </w:rPr>
              <w:t>-председателя комиссии, заместителя руководителя Управления,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hanging="100"/>
              <w:jc w:val="left"/>
            </w:pPr>
            <w:r>
              <w:rPr>
                <w:rStyle w:val="CharStyle17"/>
              </w:rPr>
              <w:t>-члена комиссии, ведущего специалиста-эксперта отдела контроля государственных и муниципальных закупок,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- Абрамовой А.А.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hanging="100"/>
              <w:jc w:val="left"/>
            </w:pPr>
            <w:r>
              <w:rPr>
                <w:rStyle w:val="CharStyle17"/>
              </w:rPr>
              <w:t>-члена комиссии, ведущего специалиста-эксперта отдела контроля государственных и муниципальных закупок,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При участии видео-конференц-связи:</w:t>
      </w: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093"/>
        <w:gridCol w:w="8160"/>
      </w:tblGrid>
      <w:tr>
        <w:trPr>
          <w:trHeight w:val="55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framePr w:w="10253" w:h="1397" w:vSpace="576" w:wrap="notBeside" w:vAnchor="text" w:hAnchor="text" w:x="-420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- Воробьевой А.И.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framePr w:w="10253" w:h="1397" w:vSpace="576" w:wrap="notBeside" w:vAnchor="text" w:hAnchor="text" w:x="-4209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hanging="100"/>
              <w:jc w:val="left"/>
            </w:pPr>
            <w:r>
              <w:rPr>
                <w:rStyle w:val="CharStyle17"/>
              </w:rPr>
              <w:t>- представителя ГКУ НО «ЦРТС» (доверенность от №04-02-52/26 от 12.01.2026),</w:t>
            </w:r>
          </w:p>
        </w:tc>
      </w:tr>
      <w:tr>
        <w:trPr>
          <w:trHeight w:val="55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framePr w:w="10253" w:h="1397" w:vSpace="576" w:wrap="notBeside" w:vAnchor="text" w:hAnchor="text" w:x="-420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- Рябушева Д.В.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framePr w:w="10253" w:h="1397" w:vSpace="576" w:wrap="notBeside" w:vAnchor="text" w:hAnchor="text" w:x="-420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rStyle w:val="CharStyle17"/>
              </w:rPr>
              <w:t>представителя ГКУ НО «ЦРТС» (по доверенности №10-02-52/26 от</w:t>
            </w:r>
          </w:p>
          <w:p>
            <w:pPr>
              <w:pStyle w:val="Style16"/>
              <w:keepNext w:val="0"/>
              <w:keepLines w:val="0"/>
              <w:framePr w:w="10253" w:h="1397" w:vSpace="576" w:wrap="notBeside" w:vAnchor="text" w:hAnchor="text" w:x="-420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rStyle w:val="CharStyle17"/>
              </w:rPr>
              <w:t>12.01.2026),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framePr w:w="10253" w:h="1397" w:vSpace="576" w:wrap="notBeside" w:vAnchor="text" w:hAnchor="text" w:x="-420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- Культина К.В.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framePr w:w="10253" w:h="1397" w:vSpace="576" w:wrap="notBeside" w:vAnchor="text" w:hAnchor="text" w:x="-420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rStyle w:val="CharStyle17"/>
              </w:rPr>
              <w:t>представителя ООО «Транс-НН» (по доверенности №б/н от 18.10.2025),</w:t>
            </w:r>
          </w:p>
        </w:tc>
      </w:tr>
    </w:tbl>
    <w:p>
      <w:pPr>
        <w:pStyle w:val="Style14"/>
        <w:keepNext w:val="0"/>
        <w:keepLines w:val="0"/>
        <w:framePr w:w="2040" w:h="341" w:hSpace="8213" w:wrap="notBeside" w:vAnchor="text" w:hAnchor="text" w:x="-4204" w:y="16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- Черепановой А.Н.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537" w:bottom="1395" w:left="532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0" w:bottom="943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652" w:line="1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298575" cy="41465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298575" cy="4146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536" w:bottom="943" w:left="111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2"/>
        </w:rPr>
        <w:t xml:space="preserve">рассмотрев посредством видео-конференц-связи жалобу обществу с ограниченной ответственностью «Транс-НН» (далее также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общество, заявитель) о нарушении Государственного казенного учреждения Нижегородской области «Центр развития транспортных систем» (далее также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ГКУ НО «ЦРТС», Заказчик) и Государственного казенного учреждения Нижегородской области «Центр размещения заказа Нижегородской области» (далее также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уполномоченный орган) при определении поставщика путем проведения открытого конкурса в электронной форме на право заключения контракта по объекту закупки: «Выполнение работ, связанных с осуществлением регулярных перевозок пассажиров и багажа автомобильным транспортом по регулируемым тарифам в границах городского округа город Нижний Новгород (муниципальный автобусный маршрут </w:t>
      </w:r>
      <w:r>
        <w:rPr>
          <w:rStyle w:val="CharStyle12"/>
          <w:lang w:val="en-US" w:eastAsia="en-US"/>
        </w:rPr>
        <w:t xml:space="preserve">№ 130)», </w:t>
      </w:r>
      <w:r>
        <w:rPr>
          <w:rStyle w:val="CharStyle12"/>
        </w:rPr>
        <w:t xml:space="preserve">номер извещения </w:t>
      </w:r>
      <w:r>
        <w:rPr>
          <w:rStyle w:val="CharStyle12"/>
          <w:lang w:val="en-US" w:eastAsia="en-US"/>
        </w:rPr>
        <w:t>0832200006626000008,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открытого конкурса в электронной форме на право заключения контракта по объекту закупки: «Выполнение работ, связанных с осуществлением регулярных перевозок пассажиров и багажа автомобильным транспортом по регулируемым тарифам в границах городского округа город Нижний Новгород (муниципальный автобусный маршрут </w:t>
      </w:r>
      <w:r>
        <w:rPr>
          <w:rStyle w:val="CharStyle12"/>
          <w:lang w:val="en-US" w:eastAsia="en-US"/>
        </w:rPr>
        <w:t xml:space="preserve">№ 130)», </w:t>
      </w:r>
      <w:r>
        <w:rPr>
          <w:rStyle w:val="CharStyle12"/>
        </w:rPr>
        <w:t xml:space="preserve">номер извещения </w:t>
      </w:r>
      <w:r>
        <w:rPr>
          <w:rStyle w:val="CharStyle12"/>
          <w:lang w:val="en-US" w:eastAsia="en-US"/>
        </w:rPr>
        <w:t>0832200006626000008.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Представители заказчика на заседании Комиссии Нижегородского УФАС России с доводами, изложенными в жалобе заявителя, согласились, факт нарушений требований Закона о контрактной системе признали.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2"/>
          <w:lang w:val="en-US" w:eastAsia="en-US"/>
        </w:rPr>
        <w:t xml:space="preserve">15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>Закона о контрактной системе, пришла к следующим выводам.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27.01.2026 </w:t>
      </w:r>
      <w:r>
        <w:rPr>
          <w:rStyle w:val="CharStyle12"/>
        </w:rPr>
        <w:t xml:space="preserve">в единой информационной системе и на сайте электронной площадки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ЭТП Газпромбанк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размещено извещение о проведении открытого конкурса в электронной форме.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Начальная (максимальная) цена контракта </w:t>
      </w:r>
      <w:r>
        <w:rPr>
          <w:rStyle w:val="CharStyle12"/>
          <w:lang w:val="en-US" w:eastAsia="en-US"/>
        </w:rPr>
        <w:t xml:space="preserve">– 35 671 392,94 </w:t>
      </w:r>
      <w:r>
        <w:rPr>
          <w:rStyle w:val="CharStyle12"/>
        </w:rPr>
        <w:t>рублей.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Заявитель жалобы указывает, что комиссия заказчика неправомерно отклонила заявку заявителя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подпункту "н"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документы, подтверждающие соответствие участника закупки требованиям, установленным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Закона о контрактной системе, документы, подтверждающие соответствие участника закупки дополнительным требованиям, установленным в соответствии с частями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 xml:space="preserve">(при наличии таких требований) 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системе, если иное не предусмотрено Законом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пунктом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о контрактной системе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частью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или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 xml:space="preserve">(при наличии таких требований) 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Закона о контрактной системе, и предусмотренные подпунктом "н"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системе, не включаются участником закупки 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заявку на участие в закупке. Такие документы в случаях, предусмотренных Законом о контрактной системе,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извещении закупки установлены дополнительные требования к участникам закупки в соответствии с позицией </w:t>
      </w:r>
      <w:r>
        <w:rPr>
          <w:rStyle w:val="CharStyle12"/>
          <w:lang w:val="en-US" w:eastAsia="en-US"/>
        </w:rPr>
        <w:t xml:space="preserve">38 </w:t>
      </w:r>
      <w:r>
        <w:rPr>
          <w:rStyle w:val="CharStyle12"/>
        </w:rPr>
        <w:t xml:space="preserve">раздела </w:t>
      </w:r>
      <w:r>
        <w:rPr>
          <w:rStyle w:val="CharStyle12"/>
          <w:lang w:val="en-US" w:eastAsia="en-US"/>
        </w:rPr>
        <w:t xml:space="preserve">VIII </w:t>
      </w:r>
      <w:r>
        <w:rPr>
          <w:rStyle w:val="CharStyle12"/>
        </w:rPr>
        <w:t xml:space="preserve">приложения к постановлению Правительства Российской Федерации от </w:t>
      </w:r>
      <w:r>
        <w:rPr>
          <w:rStyle w:val="CharStyle12"/>
          <w:lang w:val="en-US" w:eastAsia="en-US"/>
        </w:rPr>
        <w:t xml:space="preserve">29.12.2021 №2571 </w:t>
      </w:r>
      <w:r>
        <w:rPr>
          <w:rStyle w:val="CharStyle12"/>
        </w:rPr>
        <w:t xml:space="preserve">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Постановление </w:t>
      </w:r>
      <w:r>
        <w:rPr>
          <w:rStyle w:val="CharStyle12"/>
          <w:lang w:val="en-US" w:eastAsia="en-US"/>
        </w:rPr>
        <w:t>№2571)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Опыт участника согласно Постановлению </w:t>
      </w:r>
      <w:r>
        <w:rPr>
          <w:rStyle w:val="CharStyle12"/>
          <w:lang w:val="en-US" w:eastAsia="en-US"/>
        </w:rPr>
        <w:t xml:space="preserve">№2571 </w:t>
      </w:r>
      <w:r>
        <w:rPr>
          <w:rStyle w:val="CharStyle12"/>
        </w:rPr>
        <w:t xml:space="preserve">подтверждается следующими документами: </w:t>
      </w:r>
      <w:r>
        <w:rPr>
          <w:rStyle w:val="CharStyle12"/>
          <w:lang w:val="en-US" w:eastAsia="en-US"/>
        </w:rPr>
        <w:t xml:space="preserve">1) </w:t>
      </w:r>
      <w:r>
        <w:rPr>
          <w:rStyle w:val="CharStyle12"/>
        </w:rPr>
        <w:t xml:space="preserve">наличие у участника закупки опыта выполнения работ, связанных с осуществлением регулярных перевозок по регулируемым или нерегулируемым тарифам. При выполнении таких работ максимальное количество транспортных средств должно составлять не менее </w:t>
      </w:r>
      <w:r>
        <w:rPr>
          <w:rStyle w:val="CharStyle12"/>
          <w:lang w:val="en-US" w:eastAsia="en-US"/>
        </w:rPr>
        <w:t xml:space="preserve">50 </w:t>
      </w:r>
      <w:r>
        <w:rPr>
          <w:rStyle w:val="CharStyle12"/>
        </w:rPr>
        <w:t xml:space="preserve">процентов от количества транспортных средств, установленного в извещении об осуществлении закупки (документации о закупке), класс транспортных средств не должен быть ниже класса, установленного в извещении об осуществлении закупки (документации о закупке); </w:t>
      </w:r>
      <w:r>
        <w:rPr>
          <w:rStyle w:val="CharStyle12"/>
          <w:lang w:val="en-US" w:eastAsia="en-US"/>
        </w:rPr>
        <w:t xml:space="preserve">2) </w:t>
      </w:r>
      <w:r>
        <w:rPr>
          <w:rStyle w:val="CharStyle12"/>
        </w:rPr>
        <w:t xml:space="preserve">наличие на праве собственности и (или) ином законном основании на срок исполнения контракта транспортных средств, количество которых должно составлять не менее количества транспортных средств, установленного в извещении об осуществлении закупки (документации о закупке), класс транспортных средств не должен быть ниже класса, установленного в извещении об осуществлении закупки (документации о закупке).Информация и документы, подтверждающие соответствие участников закупки дополнительным требованиям: в случае соответствия требованию, предусмотренному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графы "Дополнительные требования к участникам закупки" настоящей позиции,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исполненный договор или свидетельство об осуществлении перевозок по маршруту регулярных перевозок. В случае соответствия требованию, предусмотренному пунктом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графы "Дополнительные требования к участникам закупки" настоящей позиции,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инвентарные карточки учета объектов основных средств унифицированной формы ОС-6 (при наличии транспортных средств в собственности), договоры аренды, субаренды, лизинга, безвозмездного пользования или иные информация и документы, подтверждающие факт наличия у участника закупки транспортных средств на ином законном основании.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части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>Закона о контрактной системе при рассмотрении первых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непредставления (за исключением случаев, предусмотренных настоящим Федеральным законом) информации и документов, предусмотренных подпунктами "а", "б", "г" и "д" пункта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настоящего Федерального закона, несоответствия таких информации и документов извещению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если в первой части заявки на участие в закупке содержится информация, предусмотренная пунктами </w:t>
      </w:r>
      <w:r>
        <w:rPr>
          <w:rStyle w:val="CharStyle12"/>
          <w:lang w:val="en-US" w:eastAsia="en-US"/>
        </w:rPr>
        <w:t xml:space="preserve">1, 3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выявления недостоверной информации, содержащейся в первой части заявки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Часть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Закона о контрактной указывает,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члены комиссии по осуществлению закупок: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рассматривают заявки на участие в закупке, информацию и документы, направленные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оператором электронной площадки в соответствии с пунктом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2"/>
          <w:lang w:val="en-US" w:eastAsia="en-US"/>
        </w:rPr>
        <w:t xml:space="preserve">1 - 8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</w:t>
      </w:r>
      <w:r>
        <w:rPr>
          <w:rStyle w:val="CharStyle12"/>
          <w:lang w:val="en-US" w:eastAsia="en-US"/>
        </w:rPr>
        <w:t xml:space="preserve">9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</w:t>
      </w:r>
      <w:r>
        <w:rPr>
          <w:rStyle w:val="CharStyle12"/>
          <w:lang w:val="en-US" w:eastAsia="en-US"/>
        </w:rPr>
        <w:t xml:space="preserve">9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протоколом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12.02.2026 </w:t>
      </w:r>
      <w:r>
        <w:rPr>
          <w:rStyle w:val="CharStyle12"/>
        </w:rPr>
        <w:t>№ИЭОК1 комиссией по осуществлению закупок принято решение об отклонении заявки заявителя жалобы ввиду следующее: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«Несоответствие информации и документов, предусмотренных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</w:t>
      </w:r>
      <w:r>
        <w:rPr>
          <w:rStyle w:val="CharStyle12"/>
          <w:lang w:val="en-US" w:eastAsia="en-US"/>
        </w:rPr>
        <w:t xml:space="preserve">№44 </w:t>
      </w:r>
      <w:r>
        <w:rPr>
          <w:rStyle w:val="CharStyle12"/>
        </w:rPr>
        <w:t xml:space="preserve">ФЗ требованиям, установленным в извещении об осуществлении закупки. Обоснование причины отклонения: Не соответствие с </w:t>
      </w:r>
      <w:r>
        <w:rPr>
          <w:rStyle w:val="CharStyle12"/>
          <w:lang w:val="en-US" w:eastAsia="en-US"/>
        </w:rPr>
        <w:t xml:space="preserve">I </w:t>
      </w:r>
      <w:r>
        <w:rPr>
          <w:rStyle w:val="CharStyle12"/>
        </w:rPr>
        <w:t xml:space="preserve">разделом извещения пункта </w:t>
      </w:r>
      <w:r>
        <w:rPr>
          <w:rStyle w:val="CharStyle12"/>
          <w:lang w:val="en-US" w:eastAsia="en-US"/>
        </w:rPr>
        <w:t>4».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Нижегородского УФАС Россииизучив заявку заявителя жалобы указывает, что приложенные документы в качестве дополнительного опыта по постановлению </w:t>
      </w:r>
      <w:r>
        <w:rPr>
          <w:rStyle w:val="CharStyle12"/>
          <w:lang w:val="en-US" w:eastAsia="en-US"/>
        </w:rPr>
        <w:t xml:space="preserve">№2571 </w:t>
      </w:r>
      <w:r>
        <w:rPr>
          <w:rStyle w:val="CharStyle12"/>
        </w:rPr>
        <w:t>соответствуют условиям, соответственно данное основание для отклонения является неправомерным.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Жалобы признается обоснованной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С учетом изложенного, руководствуясь частью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>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Признать жалобу общества с ограниченной ответственностью «Транс-НН» о нарушении Государственного казенного учреждения Нижегородской области «Центр развития транспортных систем» и Государственного казенного учреждения Нижегородской области «Центр размещения заказа Нижегородской области» при определении поставщика путем проведения открытого конкурса в электронной форме на право заключения контракта по объекту закупки: «Выполнение работ, связанных с осуществлением регулярных перевозок пассажиров и багажа автомобильным транспортом по регулируемым тарифам в границах городского округа город Нижний Новгород (муниципальный автобусный маршрут </w:t>
      </w:r>
      <w:r>
        <w:rPr>
          <w:rStyle w:val="CharStyle12"/>
          <w:lang w:val="en-US" w:eastAsia="en-US"/>
        </w:rPr>
        <w:t xml:space="preserve">№ 130)», </w:t>
      </w:r>
      <w:r>
        <w:rPr>
          <w:rStyle w:val="CharStyle12"/>
        </w:rPr>
        <w:t xml:space="preserve">номер извещения </w:t>
      </w:r>
      <w:r>
        <w:rPr>
          <w:rStyle w:val="CharStyle12"/>
          <w:lang w:val="en-US" w:eastAsia="en-US"/>
        </w:rPr>
        <w:t xml:space="preserve">0832200006626000008, </w:t>
      </w:r>
      <w:r>
        <w:rPr>
          <w:rStyle w:val="CharStyle12"/>
        </w:rPr>
        <w:t>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Признать конкурсную комиссию нарушившим требования 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Выдать предписание об устранении нарушений законодательства о контрактной системе в сфере закупок.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8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>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rStyle w:val="CharStyle12"/>
        </w:rPr>
        <w:t>административного правонарушения.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частью </w:t>
      </w:r>
      <w:r>
        <w:rPr>
          <w:rStyle w:val="CharStyle12"/>
          <w:lang w:val="en-US" w:eastAsia="en-US"/>
        </w:rPr>
        <w:t xml:space="preserve">9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>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662" w:right="534" w:bottom="1499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66700" distB="210185" distL="0" distR="0" simplePos="0" relativeHeight="125829386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266700</wp:posOffset>
                </wp:positionV>
                <wp:extent cx="1697990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2"/>
                                <w:sz w:val="26"/>
                                <w:szCs w:val="2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050000000000004pt;margin-top:21.pt;width:133.69999999999999pt;height:18.5pt;z-index:-125829367;mso-wrap-distance-left:0;mso-wrap-distance-top:21.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2"/>
                          <w:sz w:val="26"/>
                          <w:szCs w:val="2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635" distL="0" distR="1816735" simplePos="0" relativeHeight="125829388" behindDoc="0" locked="0" layoutInCell="1" allowOverlap="1">
            <wp:simplePos x="0" y="0"/>
            <wp:positionH relativeFrom="page">
              <wp:posOffset>3166745</wp:posOffset>
            </wp:positionH>
            <wp:positionV relativeFrom="paragraph">
              <wp:posOffset>367030</wp:posOffset>
            </wp:positionV>
            <wp:extent cx="298450" cy="34734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3556635</wp:posOffset>
                </wp:positionH>
                <wp:positionV relativeFrom="paragraph">
                  <wp:posOffset>427990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05000000000001pt;margin-top:33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24485" distB="152400" distL="0" distR="0" simplePos="0" relativeHeight="125829389" behindDoc="0" locked="0" layoutInCell="1" allowOverlap="1">
                <wp:simplePos x="0" y="0"/>
                <wp:positionH relativeFrom="page">
                  <wp:posOffset>6260465</wp:posOffset>
                </wp:positionH>
                <wp:positionV relativeFrom="paragraph">
                  <wp:posOffset>324485</wp:posOffset>
                </wp:positionV>
                <wp:extent cx="953770" cy="2349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2"/>
                                <w:sz w:val="26"/>
                                <w:szCs w:val="26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92.94999999999999pt;margin-top:25.550000000000001pt;width:75.100000000000009pt;height:18.5pt;z-index:-125829364;mso-wrap-distance-left:0;mso-wrap-distance-top:25.55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2"/>
                          <w:sz w:val="26"/>
                          <w:szCs w:val="26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Баранов Илья Валерьевич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0D493BB3DAA620D04EE744081508209F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4"/>
        </w:rPr>
        <w:t xml:space="preserve">Действителен с 24.09.2025 </w:t>
      </w:r>
      <w:r>
        <w:rPr>
          <w:rStyle w:val="CharStyle24"/>
          <w:color w:val="5C5C5C"/>
        </w:rPr>
        <w:t xml:space="preserve">по </w:t>
      </w:r>
      <w:r>
        <w:rPr>
          <w:rStyle w:val="CharStyle24"/>
        </w:rPr>
        <w:t>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2" w:bottom="149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210185" distL="0" distR="0" simplePos="0" relativeHeight="125829391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76200</wp:posOffset>
                </wp:positionV>
                <wp:extent cx="1237615" cy="23495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2"/>
                                <w:sz w:val="26"/>
                                <w:szCs w:val="26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7.800000000000004pt;margin-top:6.pt;width:97.450000000000003pt;height:18.5pt;z-index:-125829362;mso-wrap-distance-left:0;mso-wrap-distance-top:6.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2"/>
                          <w:sz w:val="26"/>
                          <w:szCs w:val="26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3990" distB="0" distL="0" distR="1816735" simplePos="0" relativeHeight="125829393" behindDoc="0" locked="0" layoutInCell="1" allowOverlap="1">
            <wp:simplePos x="0" y="0"/>
            <wp:positionH relativeFrom="page">
              <wp:posOffset>3166110</wp:posOffset>
            </wp:positionH>
            <wp:positionV relativeFrom="paragraph">
              <wp:posOffset>173990</wp:posOffset>
            </wp:positionV>
            <wp:extent cx="298450" cy="347345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3556000</wp:posOffset>
                </wp:positionH>
                <wp:positionV relativeFrom="paragraph">
                  <wp:posOffset>234950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0.pt;margin-top:18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210185" distL="0" distR="0" simplePos="0" relativeHeight="125829394" behindDoc="0" locked="0" layoutInCell="1" allowOverlap="1">
                <wp:simplePos x="0" y="0"/>
                <wp:positionH relativeFrom="page">
                  <wp:posOffset>6202045</wp:posOffset>
                </wp:positionH>
                <wp:positionV relativeFrom="paragraph">
                  <wp:posOffset>76200</wp:posOffset>
                </wp:positionV>
                <wp:extent cx="1014730" cy="23495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2"/>
                                <w:sz w:val="26"/>
                                <w:szCs w:val="26"/>
                              </w:rPr>
                              <w:t>М.К. Войнова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88.35000000000002pt;margin-top:6.pt;width:79.900000000000006pt;height:18.5pt;z-index:-125829359;mso-wrap-distance-left:0;mso-wrap-distance-top:6.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2"/>
                          <w:sz w:val="26"/>
                          <w:szCs w:val="26"/>
                        </w:rPr>
                        <w:t>М.К. Войнова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Войнова Мария Константиновна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color w:val="292929"/>
          <w:lang w:val="en-US" w:eastAsia="en-US"/>
        </w:rPr>
        <w:t>00F91</w:t>
      </w:r>
      <w:r>
        <w:rPr>
          <w:rStyle w:val="CharStyle24"/>
          <w:lang w:val="en-US" w:eastAsia="en-US"/>
        </w:rPr>
        <w:t>F1</w:t>
      </w:r>
      <w:r>
        <w:rPr>
          <w:rStyle w:val="CharStyle24"/>
        </w:rPr>
        <w:t>С83ЕВС291</w:t>
      </w:r>
      <w:r>
        <w:rPr>
          <w:rStyle w:val="CharStyle24"/>
          <w:color w:val="292929"/>
          <w:lang w:val="en-US" w:eastAsia="en-US"/>
        </w:rPr>
        <w:t>BD8EBF1</w:t>
      </w:r>
      <w:r>
        <w:rPr>
          <w:rStyle w:val="CharStyle24"/>
          <w:lang w:val="en-US" w:eastAsia="en-US"/>
        </w:rPr>
        <w:t>05EB4BA753</w:t>
      </w:r>
      <w:r>
        <w:rPr>
          <w:rStyle w:val="CharStyle24"/>
          <w:lang w:val="en-US" w:eastAsia="en-US"/>
        </w:rPr>
        <w:t>Z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4"/>
        </w:rPr>
        <w:t xml:space="preserve">Действителен с 17.06.2025 </w:t>
      </w:r>
      <w:r>
        <w:rPr>
          <w:rStyle w:val="CharStyle24"/>
          <w:color w:val="5C5C5C"/>
        </w:rPr>
        <w:t xml:space="preserve">по </w:t>
      </w:r>
      <w:r>
        <w:rPr>
          <w:rStyle w:val="CharStyle24"/>
        </w:rPr>
        <w:t>10.09.2026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0" w:right="0" w:firstLine="0"/>
        <w:jc w:val="right"/>
        <w:rPr>
          <w:sz w:val="26"/>
          <w:szCs w:val="26"/>
        </w:rPr>
      </w:pPr>
      <w:r>
        <w:drawing>
          <wp:anchor distT="0" distB="0" distL="114300" distR="1931035" simplePos="0" relativeHeight="125829396" behindDoc="0" locked="0" layoutInCell="1" allowOverlap="1">
            <wp:simplePos x="0" y="0"/>
            <wp:positionH relativeFrom="page">
              <wp:posOffset>3166110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3556000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0.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  <w:sz w:val="26"/>
          <w:szCs w:val="26"/>
        </w:rPr>
        <w:t>А.А. Абрамова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Абрамова Анастасия Алексеевна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00A6714F0979FCD913916164E456C54675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000" w:line="240" w:lineRule="auto"/>
        <w:ind w:right="0" w:firstLine="0"/>
        <w:jc w:val="left"/>
      </w:pPr>
      <w:r>
        <w:rPr>
          <w:rStyle w:val="CharStyle24"/>
        </w:rPr>
        <w:t xml:space="preserve">Действителен с 15.01.2026 </w:t>
      </w:r>
      <w:r>
        <w:rPr>
          <w:rStyle w:val="CharStyle24"/>
          <w:color w:val="5C5C5C"/>
        </w:rPr>
        <w:t xml:space="preserve">по </w:t>
      </w:r>
      <w:r>
        <w:rPr>
          <w:rStyle w:val="CharStyle24"/>
        </w:rPr>
        <w:t>10.04.2027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2"/>
          <w:sz w:val="22"/>
          <w:szCs w:val="22"/>
        </w:rPr>
        <w:t>Исп.Войнова М.К.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2"/>
          <w:sz w:val="22"/>
          <w:szCs w:val="22"/>
        </w:rPr>
        <w:t>тел.431-73-87, вн.052-707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49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10031730</wp:posOffset>
              </wp:positionV>
              <wp:extent cx="65532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2026-3975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9.950000000000003pt;margin-top:789.89999999999998pt;width:51.600000000000001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2026-3975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782955</wp:posOffset>
              </wp:positionH>
              <wp:positionV relativeFrom="page">
                <wp:posOffset>10199370</wp:posOffset>
              </wp:positionV>
              <wp:extent cx="652145" cy="12827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2026-3975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61.649999999999999pt;margin-top:803.10000000000002pt;width:51.350000000000001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2026-3975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762635</wp:posOffset>
              </wp:positionV>
              <wp:extent cx="7620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0000000000002pt;margin-top:60.050000000000004pt;width:6.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Body text (5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Table caption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Other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4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Body text (5)"/>
    <w:basedOn w:val="Normal"/>
    <w:link w:val="CharStyle10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Table caption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Other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4)"/>
    <w:basedOn w:val="Normal"/>
    <w:link w:val="CharStyle22"/>
    <w:pPr>
      <w:widowControl w:val="0"/>
      <w:shd w:val="clear" w:color="auto" w:fill="auto"/>
      <w:spacing w:after="100"/>
      <w:ind w:left="45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8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image" Target="media/image5.jpeg"/><Relationship Id="rId17" Type="http://schemas.openxmlformats.org/officeDocument/2006/relationships/image" Target="media/image5.jpeg" TargetMode="External"/></Relationships>
</file>