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4.11.2025</w:t>
        <w:tab/>
      </w:r>
      <w:r>
        <w:fldChar w:fldCharType="end"/>
      </w:r>
      <w:r>
        <w:rPr>
          <w:rStyle w:val="CharStyle10"/>
        </w:rPr>
        <w:t>№ 46801/25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 xml:space="preserve">НИЦ «Курчатовский институт» </w:t>
      </w:r>
      <w:r>
        <w:fldChar w:fldCharType="begin"/>
      </w:r>
      <w:r>
        <w:rPr/>
        <w:instrText> HYPERLINK "mailto:okp@nrcki.ru" </w:instrText>
      </w:r>
      <w:r>
        <w:fldChar w:fldCharType="separate"/>
      </w:r>
      <w:r>
        <w:rPr>
          <w:rStyle w:val="CharStyle12"/>
          <w:lang w:val="en-US" w:eastAsia="en-US"/>
        </w:rPr>
        <w:t>okp@nrcki.ru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1697" w:bottom="708" w:left="1293" w:header="0" w:footer="3" w:gutter="0"/>
          <w:pgNumType w:start="1"/>
          <w:cols w:num="2" w:space="1304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ООО «ГК «Зортек» </w:t>
      </w:r>
      <w:r>
        <w:fldChar w:fldCharType="begin"/>
      </w:r>
      <w:r>
        <w:rPr/>
        <w:instrText> HYPERLINK "mailto:tender@zortekgroup.com" </w:instrText>
      </w:r>
      <w:r>
        <w:fldChar w:fldCharType="separate"/>
      </w:r>
      <w:r>
        <w:rPr>
          <w:rStyle w:val="CharStyle12"/>
          <w:lang w:val="en-US" w:eastAsia="en-US"/>
        </w:rPr>
        <w:t>tender@zortekgroup.com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</w:rPr>
        <w:t xml:space="preserve">АО «Сбербанк-АСТ»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12"/>
          <w:lang w:val="en-US" w:eastAsia="en-US"/>
        </w:rPr>
        <w:t>info@sberbank-ast.ru</w:t>
      </w:r>
      <w:r>
        <w:fldChar w:fldCharType="end"/>
      </w: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41" w:bottom="655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9" w:right="0" w:bottom="54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по делу </w:t>
      </w:r>
      <w:r>
        <w:rPr>
          <w:rStyle w:val="CharStyle12"/>
          <w:b/>
          <w:bCs/>
          <w:lang w:val="en-US" w:eastAsia="en-US"/>
        </w:rPr>
        <w:t xml:space="preserve">№ 077/06/106-14389/2025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11.11.2025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видео- конференц 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НИЦ «Курчатовский институт»: П.П. Игнатущенко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52дв от </w:t>
      </w:r>
      <w:r>
        <w:rPr>
          <w:rStyle w:val="CharStyle12"/>
          <w:lang w:val="en-US" w:eastAsia="en-US"/>
        </w:rPr>
        <w:t xml:space="preserve">03.02.2025), </w:t>
      </w:r>
      <w:r>
        <w:rPr>
          <w:rStyle w:val="CharStyle12"/>
        </w:rPr>
        <w:t xml:space="preserve">А.В. Костроминой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48дв от </w:t>
      </w:r>
      <w:r>
        <w:rPr>
          <w:rStyle w:val="CharStyle12"/>
          <w:lang w:val="en-US" w:eastAsia="en-US"/>
        </w:rPr>
        <w:t xml:space="preserve">03.02.2025), </w:t>
      </w:r>
      <w:r>
        <w:rPr>
          <w:rStyle w:val="CharStyle12"/>
        </w:rPr>
        <w:t xml:space="preserve">М.А. Миронова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51дв от </w:t>
      </w:r>
      <w:r>
        <w:rPr>
          <w:rStyle w:val="CharStyle12"/>
          <w:lang w:val="en-US" w:eastAsia="en-US"/>
        </w:rPr>
        <w:t>03.02.2025),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ООО «ГК «Зортек»: С.С. Соколова (по доверенности </w:t>
      </w:r>
      <w:r>
        <w:rPr>
          <w:rStyle w:val="CharStyle12"/>
          <w:lang w:val="en-US" w:eastAsia="en-US"/>
        </w:rPr>
        <w:t xml:space="preserve">№ 07.11.2025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07.11.2025),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«ГК «Зортек»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НИЦ «Курчатовский институт»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Заказчик) при проведении электронного аукциона на право заключения государственного контракта на поставку расходных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1935" cy="29273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материалов к офисной и оргтехнике (Закупка </w:t>
      </w:r>
      <w:r>
        <w:rPr>
          <w:rStyle w:val="CharStyle12"/>
          <w:lang w:val="en-US" w:eastAsia="en-US"/>
        </w:rPr>
        <w:t xml:space="preserve">№ 0373100001025000887)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  <w:lang w:val="en-US" w:eastAsia="en-US"/>
        </w:rPr>
        <w:t xml:space="preserve">1. </w:t>
      </w:r>
      <w:r>
        <w:rPr>
          <w:rStyle w:val="CharStyle12"/>
        </w:rPr>
        <w:t>В составе жалобы Заявитель указывает, что Заказчиком в составе извещения, в нарушение п.1 ч.1 ст.33 Закона о контрактной системе, установлено требование о поставке исключительно оригинальных товаров без возможности поставки эквивалентной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Согласно п.1,2 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57" w:lineRule="auto"/>
        <w:ind w:left="0" w:right="0" w:firstLine="68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5" w:val="left"/>
        </w:tabs>
        <w:bidi w:val="0"/>
        <w:spacing w:before="0" w:after="240" w:line="257" w:lineRule="auto"/>
        <w:ind w:left="0" w:right="0" w:firstLine="68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>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объектом закупки являются расходные материалы (картриджи), при этом Заказчиком в составе извещения об осуществлении закупки установлены требования к показателям таких товаров, например: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по п. «Картридж для электрографических печатающих устройств, Идентификатор: </w:t>
      </w:r>
      <w:r>
        <w:rPr>
          <w:rStyle w:val="CharStyle12"/>
          <w:lang w:val="en-US" w:eastAsia="en-US"/>
        </w:rPr>
        <w:t xml:space="preserve">194452328»: </w:t>
      </w:r>
      <w:r>
        <w:rPr>
          <w:rStyle w:val="CharStyle12"/>
        </w:rPr>
        <w:t xml:space="preserve">«Товарный знак: Тонер-картридж </w:t>
      </w:r>
      <w:r>
        <w:rPr>
          <w:rStyle w:val="CharStyle12"/>
          <w:lang w:val="en-US" w:eastAsia="en-US"/>
        </w:rPr>
        <w:t xml:space="preserve">Brother TN-2375», </w:t>
      </w:r>
      <w:r>
        <w:rPr>
          <w:rStyle w:val="CharStyle12"/>
        </w:rPr>
        <w:t xml:space="preserve">«Требование: Товар предназначается для использования в оборудовании заказчика, а именно с принтерами </w:t>
      </w:r>
      <w:r>
        <w:rPr>
          <w:rStyle w:val="CharStyle12"/>
          <w:lang w:val="en-US" w:eastAsia="en-US"/>
        </w:rPr>
        <w:t xml:space="preserve">Brother MFC-L2740DWR, MFC-L2720DWR, MFC- L2700DNR, MFCL2700DWR </w:t>
      </w:r>
      <w:r>
        <w:rPr>
          <w:rStyle w:val="CharStyle12"/>
        </w:rPr>
        <w:t>в соответствии с технической документацией на указанное оборудование заказчика»;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по п. «Чернила </w:t>
      </w:r>
      <w:r>
        <w:rPr>
          <w:rStyle w:val="CharStyle12"/>
          <w:lang w:val="en-US" w:eastAsia="en-US"/>
        </w:rPr>
        <w:t xml:space="preserve">Epson C13T77414A *, </w:t>
      </w:r>
      <w:r>
        <w:rPr>
          <w:rStyle w:val="CharStyle12"/>
        </w:rPr>
        <w:t xml:space="preserve">Идентификатор: </w:t>
      </w:r>
      <w:r>
        <w:rPr>
          <w:rStyle w:val="CharStyle12"/>
          <w:lang w:val="en-US" w:eastAsia="en-US"/>
        </w:rPr>
        <w:t xml:space="preserve">194452356»: </w:t>
      </w:r>
      <w:r>
        <w:rPr>
          <w:rStyle w:val="CharStyle12"/>
        </w:rPr>
        <w:t xml:space="preserve">«Требование: Товар предназначается для использования в оборудовании заказчика, а именно с печатным оборудованием </w:t>
      </w:r>
      <w:r>
        <w:rPr>
          <w:rStyle w:val="CharStyle12"/>
          <w:lang w:val="en-US" w:eastAsia="en-US"/>
        </w:rPr>
        <w:t xml:space="preserve">Epson L1455 / L605 / M100 / M200 </w:t>
      </w:r>
      <w:r>
        <w:rPr>
          <w:rStyle w:val="CharStyle12"/>
        </w:rPr>
        <w:t>в соответствии с технической документацией на указанное оборудование заказчика и рекомендациями производителя печатного оборудования».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по п. «Картридж для электрографических печатающих устройств, Идентификатор: </w:t>
      </w:r>
      <w:r>
        <w:rPr>
          <w:rStyle w:val="CharStyle12"/>
          <w:lang w:val="en-US" w:eastAsia="en-US"/>
        </w:rPr>
        <w:t xml:space="preserve">194452248»: </w:t>
      </w:r>
      <w:r>
        <w:rPr>
          <w:rStyle w:val="CharStyle12"/>
        </w:rPr>
        <w:t xml:space="preserve">«Товарный знак: Картридж </w:t>
      </w:r>
      <w:r>
        <w:rPr>
          <w:rStyle w:val="CharStyle12"/>
          <w:lang w:val="en-US" w:eastAsia="en-US"/>
        </w:rPr>
        <w:t xml:space="preserve">CIM C27500066200360», </w:t>
      </w:r>
      <w:r>
        <w:rPr>
          <w:rStyle w:val="CharStyle12"/>
        </w:rPr>
        <w:t xml:space="preserve">«Предназначение: Товар предназначается для использования в оборудовании заказчика, а именно для принтера </w:t>
      </w:r>
      <w:r>
        <w:rPr>
          <w:rStyle w:val="CharStyle12"/>
          <w:lang w:val="en-US" w:eastAsia="en-US"/>
        </w:rPr>
        <w:t>CIM SunLight SATURN Single Side USB &amp;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Ethernet </w:t>
      </w:r>
      <w:r>
        <w:rPr>
          <w:rStyle w:val="CharStyle12"/>
        </w:rPr>
        <w:t>в соответствии с технической документацией на указанное оборудование заказчика и рекомендациями производителя печатного оборудования».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по п. «Головка печатающая </w:t>
      </w:r>
      <w:r>
        <w:rPr>
          <w:rStyle w:val="CharStyle12"/>
          <w:lang w:val="en-US" w:eastAsia="en-US"/>
        </w:rPr>
        <w:t xml:space="preserve">HP 11 C4810A*, </w:t>
      </w:r>
      <w:r>
        <w:rPr>
          <w:rStyle w:val="CharStyle12"/>
        </w:rPr>
        <w:t xml:space="preserve">Идентификатор: </w:t>
      </w:r>
      <w:r>
        <w:rPr>
          <w:rStyle w:val="CharStyle12"/>
          <w:lang w:val="en-US" w:eastAsia="en-US"/>
        </w:rPr>
        <w:t xml:space="preserve">194452212»: </w:t>
      </w:r>
      <w:r>
        <w:rPr>
          <w:rStyle w:val="CharStyle12"/>
        </w:rPr>
        <w:t xml:space="preserve">«Головка печатающая </w:t>
      </w:r>
      <w:r>
        <w:rPr>
          <w:rStyle w:val="CharStyle12"/>
          <w:lang w:val="en-US" w:eastAsia="en-US"/>
        </w:rPr>
        <w:t xml:space="preserve">HP 11 C4810A», </w:t>
      </w:r>
      <w:r>
        <w:rPr>
          <w:rStyle w:val="CharStyle12"/>
        </w:rPr>
        <w:t xml:space="preserve">«Требование: Товар должен обеспечить полное взаимодействие с оборудование, используемымзаказчиком, а именно с печатным оборудованием плоттер </w:t>
      </w:r>
      <w:r>
        <w:rPr>
          <w:rStyle w:val="CharStyle12"/>
          <w:lang w:val="en-US" w:eastAsia="en-US"/>
        </w:rPr>
        <w:t xml:space="preserve">HP Designjet 510 </w:t>
      </w:r>
      <w:r>
        <w:rPr>
          <w:rStyle w:val="CharStyle12"/>
        </w:rPr>
        <w:t>в соответствии с технической документацией на указанное оборудование заказчика и рекомендацией производителя печатного оборудования».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установление по части позиций требования о поставке исключительно оригинальных товаров обусловлена потребностью Заказчика в оригинальных расходных материалах для сохранения соответствующего качества печати, поддержания работоспособности оборудования, в том числе сохранения гарантии на имеющееся у него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Рекомендации производителей оборудования, также подтверждают, что использование неоригинальных картриджей негативно отражается на качестве работы оборудования и приводит к его поломке. Применение неоригинальных расходных материалов может вызвать ухудшение качества печати, ускоренный износ оборудования, в отдельных случаях прекращение гарантийных обязательств.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обоснование своей позиции представитель Заказчика ссылается на требования эксплуатационной документации.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техническая документация на печатающие устройства, как например, </w:t>
      </w:r>
      <w:r>
        <w:rPr>
          <w:rStyle w:val="CharStyle12"/>
          <w:lang w:val="en-US" w:eastAsia="en-US"/>
        </w:rPr>
        <w:t xml:space="preserve">Epson L1455, </w:t>
      </w:r>
      <w:r>
        <w:rPr>
          <w:rStyle w:val="CharStyle12"/>
        </w:rPr>
        <w:t xml:space="preserve">для которого закупается п. «Чернила </w:t>
      </w:r>
      <w:r>
        <w:rPr>
          <w:rStyle w:val="CharStyle12"/>
          <w:lang w:val="en-US" w:eastAsia="en-US"/>
        </w:rPr>
        <w:t xml:space="preserve">Epson C13T77414A*, </w:t>
      </w:r>
      <w:r>
        <w:rPr>
          <w:rStyle w:val="CharStyle12"/>
        </w:rPr>
        <w:t xml:space="preserve">Идентификатор: </w:t>
      </w:r>
      <w:r>
        <w:rPr>
          <w:rStyle w:val="CharStyle12"/>
          <w:lang w:val="en-US" w:eastAsia="en-US"/>
        </w:rPr>
        <w:t xml:space="preserve">194452356», </w:t>
      </w:r>
      <w:r>
        <w:rPr>
          <w:rStyle w:val="CharStyle12"/>
        </w:rPr>
        <w:t xml:space="preserve">содержит следующее указание: «Гарантия </w:t>
      </w:r>
      <w:r>
        <w:rPr>
          <w:rStyle w:val="CharStyle12"/>
          <w:lang w:val="en-US" w:eastAsia="en-US"/>
        </w:rPr>
        <w:t xml:space="preserve">Epson </w:t>
      </w:r>
      <w:r>
        <w:rPr>
          <w:rStyle w:val="CharStyle12"/>
        </w:rPr>
        <w:t xml:space="preserve">не распространяется на повреждения, вызванные использованием чернил, отличных от указанных в спецификации, в том числе подлинных чернил </w:t>
      </w:r>
      <w:r>
        <w:rPr>
          <w:rStyle w:val="CharStyle12"/>
          <w:lang w:val="en-US" w:eastAsia="en-US"/>
        </w:rPr>
        <w:t xml:space="preserve">Epson, </w:t>
      </w:r>
      <w:r>
        <w:rPr>
          <w:rStyle w:val="CharStyle12"/>
        </w:rPr>
        <w:t xml:space="preserve">не предназначенных для этого принтера, а также любых чернил других производителей. Другие продукты, не произведенные компанией </w:t>
      </w:r>
      <w:r>
        <w:rPr>
          <w:rStyle w:val="CharStyle12"/>
          <w:lang w:val="en-US" w:eastAsia="en-US"/>
        </w:rPr>
        <w:t xml:space="preserve">Epson, </w:t>
      </w:r>
      <w:r>
        <w:rPr>
          <w:rStyle w:val="CharStyle12"/>
        </w:rPr>
        <w:t xml:space="preserve">могут вызвать повреждение, на которое не распространяются гарантийные обязательства компании </w:t>
      </w:r>
      <w:r>
        <w:rPr>
          <w:rStyle w:val="CharStyle12"/>
          <w:lang w:val="en-US" w:eastAsia="en-US"/>
        </w:rPr>
        <w:t xml:space="preserve">Epson, </w:t>
      </w:r>
      <w:r>
        <w:rPr>
          <w:rStyle w:val="CharStyle12"/>
        </w:rPr>
        <w:t>и при определенных условиях могут вызвать непредсказуемое поведение принтера».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В то же время техническая документация, например, на принтеры принтерами </w:t>
      </w:r>
      <w:r>
        <w:rPr>
          <w:rStyle w:val="CharStyle12"/>
          <w:lang w:val="en-US" w:eastAsia="en-US"/>
        </w:rPr>
        <w:t xml:space="preserve">Brother MFC-L2740DWR, MFC-L2720DWR, MFC-L2700DNR, MFCL2700DWR </w:t>
      </w:r>
      <w:r>
        <w:rPr>
          <w:rStyle w:val="CharStyle12"/>
        </w:rPr>
        <w:t>не содержит указания на совместимость оборудования исключительно с оригинальными картриджами, и потерю гарантии в случае использования совместимых картриджей.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9" w:right="536" w:bottom="543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Аналогичным образом техническая документация на принтер </w:t>
      </w:r>
      <w:r>
        <w:rPr>
          <w:rStyle w:val="CharStyle12"/>
          <w:lang w:val="en-US" w:eastAsia="en-US"/>
        </w:rPr>
        <w:t xml:space="preserve">CIM SunLight SATURN Single Side USB &amp; Ethernet </w:t>
      </w:r>
      <w:r>
        <w:rPr>
          <w:rStyle w:val="CharStyle12"/>
        </w:rPr>
        <w:t xml:space="preserve">и плоттер </w:t>
      </w:r>
      <w:r>
        <w:rPr>
          <w:rStyle w:val="CharStyle12"/>
          <w:lang w:val="en-US" w:eastAsia="en-US"/>
        </w:rPr>
        <w:t xml:space="preserve">HP Designjet 510 </w:t>
      </w:r>
      <w:r>
        <w:rPr>
          <w:rStyle w:val="CharStyle12"/>
        </w:rPr>
        <w:t>также не содержит запрета и указания на потерю гарантии в случае использования совместимых расходных материалов.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Таким образом среди закупаемых Заказчиком товаров, к которым предъявлены требования о поставке товара конкретного товарного знака имеются расходные материалы для продукции техническая документация которой не содержит запрета использования не оригинальных материалов.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Таким образом, из представленных в материалы дела документов и сведений не представляется возможным прийти к выводу о том, что в данном случае Заказчик обязан использовать исключительно оригинальные расходные материалы по всем позициям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товарам, но таким образом, чтобы такие требования соответствовали требованиям с.33 Закона о контрактной системе, не ограничивали количество участников закупки, и в составе одного лота не закупались наряду с товарами, производимыми неограниченным кругом производителей уникальные товары единственного производителя, отсутствующие в свободном доступе, в том числе для приобретения которых необходимо заключать определенные договоры и соглашения с производителем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Комиссия Управления также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На основе вышеизложенного, Комиссия Управления приходит к выводу о нарушении Заказчиком положений п.1 ч.1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7.30.1 </w:t>
      </w:r>
      <w:r>
        <w:rPr>
          <w:rStyle w:val="CharStyle12"/>
        </w:rPr>
        <w:t>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2. </w:t>
      </w:r>
      <w:r>
        <w:rPr>
          <w:rStyle w:val="CharStyle12"/>
        </w:rPr>
        <w:t>Согласно доводам Заявителя, Заказчиком неправомерно в составе извещения не размещена декларация об отсутствии закупаемого товара в реестре российской промышленной продукции, поскольку описание объекта закупки позволяет предложить к поставке товары российского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260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  <w:sz w:val="24"/>
          <w:szCs w:val="24"/>
          <w:lang w:val="en-US" w:eastAsia="en-US"/>
        </w:rPr>
        <w:t>2025-53099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ч.2 ст.14 Закона о контрактной системе Правительство Российской Федерации: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п.2 ч.4 ст.14 Закона о контрактной системе при осуществлении закупки товара если Правительством Российской Федерации установлено предусмотренное пп.«б» п.1 ч.2 ст.14 Закона о контрактной системе ограничение закупок товара: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860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поставке такого товара российского происхождения;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ч.1.1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п.1 ч.2 ст.14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соответствии с положениями пп. «а» п.7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 осуществлении закупки товаров, указанных в 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- </w:t>
      </w:r>
      <w:r>
        <w:rPr>
          <w:rStyle w:val="CharStyle12"/>
        </w:rPr>
        <w:t xml:space="preserve">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12"/>
          <w:lang w:val="en-US" w:eastAsia="en-US"/>
        </w:rPr>
        <w:t xml:space="preserve">034-2014 </w:t>
      </w:r>
      <w:r>
        <w:rPr>
          <w:rStyle w:val="CharStyle12"/>
        </w:rPr>
        <w:t xml:space="preserve">(КПЕС </w:t>
      </w:r>
      <w:r>
        <w:rPr>
          <w:rStyle w:val="CharStyle12"/>
          <w:lang w:val="en-US" w:eastAsia="en-US"/>
        </w:rPr>
        <w:t xml:space="preserve">2008), </w:t>
      </w:r>
      <w:r>
        <w:rPr>
          <w:rStyle w:val="CharStyle12"/>
        </w:rPr>
        <w:t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221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Комиссией Управления установлено, что в извещении об осуществлении закупки в отношении закупаемого товара Заказчиком установлены ограничения, </w:t>
      </w:r>
      <w:r>
        <w:rPr>
          <w:rStyle w:val="CharStyle12"/>
          <w:sz w:val="24"/>
          <w:szCs w:val="24"/>
          <w:lang w:val="en-US" w:eastAsia="en-US"/>
        </w:rPr>
        <w:t>2025-53099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предусмотренные абз.3 п.1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также в составе извещения нет декларация факта отсутствия в реестре российской промышленной продукции товара с характеристиками, соответствующими потребности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Заказчик ориентировался на наличие производителей сопоставимой продукции в соответствующих реестрах с учетом функционального назначения такой продукции, в том числе однородной и идентичной продукции, а также кодов по видам экономической деятельности таких производителей, указанных, в том числе, в реестре российской промышленной продукции, для чего применяются сопоставимые наименования, коды ОКПД2, ТН ВЭД закупаемой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Запросы направлялись организациям производителям, включенным в реестр российской промышленной продукции с учетом сопоставимости продукции и ее функционального назначения, ответы от вышеуказанных организаций не поступили.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Учитывая изложенное, достоверно подтвердить факт отсутствия в реестре российской промышленной продукции товара с характеристиками, соответствующими потребностям заказчика, с учетом наличия в реестре ГИСП производителей сопоставимой продукции с учетом ее функционального назначения, однородности и идентичности, на момент размещения закупки не представлялось возможным, в связи с чем, уведомление в Минпромторг России не направлялось, в извещении факт отсутствия не декларировался.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Комиссия Управления отмечает, в связи с тем, что Заказчиком не были получены ответы на запросы от производителей не предоставлялось возможным установить отсутствие продукции в реестре российской промышленной продукции, также названия могут изменятся в зависимости от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41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12"/>
        </w:rPr>
        <w:t>.Признать жалобу ООО «ГК «Зортек» на действия НИЦ «Курчатовский институт» обоснованной в части неправомерного формирования описания объекта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6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12"/>
        </w:rPr>
        <w:t>.Признать в действиях Заказчика нарушение п.1 ч.1 ст.33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40" w:val="left"/>
        </w:tabs>
        <w:bidi w:val="0"/>
        <w:spacing w:before="0" w:after="0" w:line="233" w:lineRule="auto"/>
        <w:ind w:left="0" w:right="0" w:firstLine="740"/>
        <w:jc w:val="both"/>
      </w:pPr>
      <w:r>
        <w:rPr>
          <w:rStyle w:val="CharStyle12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0" w:val="left"/>
        </w:tabs>
        <w:bidi w:val="0"/>
        <w:spacing w:before="0" w:after="240" w:line="233" w:lineRule="auto"/>
        <w:ind w:left="0" w:right="0" w:firstLine="740"/>
        <w:jc w:val="both"/>
      </w:pPr>
      <w:r>
        <w:rPr>
          <w:rStyle w:val="CharStyle12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237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7018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58.200000000000003pt;margin-top:26.pt;width:145.20000000000002pt;height:19.699999999999999pt;z-index:-125829374;mso-wrap-distance-left:0;mso-wrap-distance-top:26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0" distL="0" distR="0" simplePos="0" relativeHeight="125829381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491490</wp:posOffset>
                </wp:positionV>
                <wp:extent cx="1722120" cy="25908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80000000000001pt;margin-top:38.700000000000003pt;width:135.59999999999999pt;height:20.400000000000002pt;z-index:-125829372;mso-wrap-distance-left:0;mso-wrap-distance-top:38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70180" distL="0" distR="0" simplePos="0" relativeHeight="125829383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65.25pt;margin-top:26.pt;width:102.95pt;height:19.699999999999999pt;z-index:-125829370;mso-wrap-distance-left:0;mso-wrap-distance-top:26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80.90000000000003pt;margin-top:36.55000000000000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77.75pt;margin-top:11.6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Леонова Алена Альбертовна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009389F972AA570F22D19E7C51D28B0906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2"/>
        </w:rPr>
        <w:t>Действителен с 20.09.2024 по 14.12.2025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277.55000000000001pt;margin-top:11.80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Матюшенко Александр Александрович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4F595A5C3E5ABB2DD77161F08559FC07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60" w:line="266" w:lineRule="auto"/>
        <w:ind w:right="0" w:firstLine="0"/>
        <w:jc w:val="left"/>
      </w:pPr>
      <w:r>
        <w:rPr>
          <w:rStyle w:val="CharStyle22"/>
        </w:rPr>
        <w:t xml:space="preserve">Действителен с 22.07.2025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15.10.2026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10342245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2025-53099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814.35000000000002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2025-53099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10342245</wp:posOffset>
              </wp:positionV>
              <wp:extent cx="72263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2025-53099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814.35000000000002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2025-53099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22630" cy="10668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2025-53099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6.75pt;margin-top:804.30000000000007pt;width:56.899999999999999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2025-53099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10342245</wp:posOffset>
              </wp:positionV>
              <wp:extent cx="722630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2025-53099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200000000000003pt;margin-top:814.35000000000002pt;width:56.899999999999999pt;height:8.15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2025-53099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10342245</wp:posOffset>
              </wp:positionV>
              <wp:extent cx="722630" cy="10350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2025-53099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57.200000000000003pt;margin-top:814.35000000000002pt;width:56.899999999999999pt;height:8.1500000000000004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2025-53099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10342245</wp:posOffset>
              </wp:positionV>
              <wp:extent cx="722630" cy="103505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2025-53099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57.200000000000003pt;margin-top:814.35000000000002pt;width:56.899999999999999pt;height:8.1500000000000004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2025-53099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432435</wp:posOffset>
              </wp:positionV>
              <wp:extent cx="577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34.049999999999997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432435</wp:posOffset>
              </wp:positionV>
              <wp:extent cx="57785" cy="698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pt;margin-top:34.049999999999997pt;width:4.5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9.pt;margin-top:40.100000000000001pt;width:6.pt;height:5.5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432435</wp:posOffset>
              </wp:positionV>
              <wp:extent cx="57785" cy="6985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9.pt;margin-top:34.049999999999997pt;width:4.5499999999999998pt;height:5.5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432435</wp:posOffset>
              </wp:positionV>
              <wp:extent cx="57785" cy="6985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309.pt;margin-top:34.049999999999997pt;width:4.5499999999999998pt;height:5.5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432435</wp:posOffset>
              </wp:positionV>
              <wp:extent cx="57785" cy="6985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309.pt;margin-top:34.049999999999997pt;width:4.5499999999999998pt;height:5.5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5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png"/><Relationship Id="rId16" Type="http://schemas.openxmlformats.org/officeDocument/2006/relationships/image" Target="media/image3.png" TargetMode="Externa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header" Target="header5.xml"/><Relationship Id="rId20" Type="http://schemas.openxmlformats.org/officeDocument/2006/relationships/footer" Target="footer5.xml"/><Relationship Id="rId21" Type="http://schemas.openxmlformats.org/officeDocument/2006/relationships/header" Target="header6.xml"/><Relationship Id="rId22" Type="http://schemas.openxmlformats.org/officeDocument/2006/relationships/footer" Target="footer6.xml"/><Relationship Id="rId23" Type="http://schemas.openxmlformats.org/officeDocument/2006/relationships/header" Target="header7.xml"/><Relationship Id="rId24" Type="http://schemas.openxmlformats.org/officeDocument/2006/relationships/footer" Target="footer7.xml"/><Relationship Id="rId25" Type="http://schemas.openxmlformats.org/officeDocument/2006/relationships/image" Target="media/image4.jpeg"/><Relationship Id="rId26" Type="http://schemas.openxmlformats.org/officeDocument/2006/relationships/image" Target="media/image4.jpeg" TargetMode="External"/><Relationship Id="rId27" Type="http://schemas.openxmlformats.org/officeDocument/2006/relationships/image" Target="media/image5.jpeg"/><Relationship Id="rId28" Type="http://schemas.openxmlformats.org/officeDocument/2006/relationships/image" Target="media/image5.jpeg" TargetMode="External"/></Relationships>
</file>