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20" w:line="240" w:lineRule="auto"/>
        <w:ind w:left="5160" w:right="0" w:firstLine="0"/>
        <w:jc w:val="left"/>
      </w:pPr>
      <w:r>
        <w:rPr>
          <w:rStyle w:val="CharStyle3"/>
        </w:rPr>
        <w:t xml:space="preserve">ООО «Дальоптторг» </w:t>
      </w:r>
      <w:r>
        <w:fldChar w:fldCharType="begin"/>
      </w:r>
      <w:r>
        <w:rPr/>
        <w:instrText> HYPERLINK "mailto:dalopttorg@mail.ru" </w:instrText>
      </w:r>
      <w:r>
        <w:fldChar w:fldCharType="separate"/>
      </w:r>
      <w:r>
        <w:rPr>
          <w:rStyle w:val="CharStyle3"/>
          <w:lang w:val="en-US" w:eastAsia="en-US"/>
        </w:rPr>
        <w:t>dalopttorg@mail.ru</w:t>
      </w:r>
      <w:r>
        <w:fldChar w:fldCharType="end"/>
      </w:r>
    </w:p>
    <w:p>
      <w:pPr>
        <w:pStyle w:val="Style2"/>
        <w:keepNext w:val="0"/>
        <w:keepLines w:val="0"/>
        <w:widowControl w:val="0"/>
        <w:shd w:val="clear" w:color="auto" w:fill="auto"/>
        <w:bidi w:val="0"/>
        <w:spacing w:before="0" w:after="0" w:line="240" w:lineRule="auto"/>
        <w:ind w:left="5160" w:right="0" w:firstLine="0"/>
        <w:jc w:val="left"/>
      </w:pPr>
      <w:r>
        <w:rPr>
          <w:rStyle w:val="CharStyle3"/>
        </w:rPr>
        <w:t>КГБУЗ «Детская краевая клиническая больница» им. А.К. Пиотровича</w:t>
      </w:r>
    </w:p>
    <w:p>
      <w:pPr>
        <w:pStyle w:val="Style2"/>
        <w:keepNext w:val="0"/>
        <w:keepLines w:val="0"/>
        <w:widowControl w:val="0"/>
        <w:shd w:val="clear" w:color="auto" w:fill="auto"/>
        <w:bidi w:val="0"/>
        <w:spacing w:before="0" w:after="0" w:line="240" w:lineRule="auto"/>
        <w:ind w:left="5160" w:right="0" w:firstLine="0"/>
        <w:jc w:val="left"/>
      </w:pPr>
      <w:r>
        <w:rPr>
          <w:rStyle w:val="CharStyle3"/>
        </w:rPr>
        <w:t>Министерства здравоохранения Хабаровского края</w:t>
      </w:r>
    </w:p>
    <w:p>
      <w:pPr>
        <w:pStyle w:val="Style4"/>
        <w:keepNext w:val="0"/>
        <w:keepLines w:val="0"/>
        <w:widowControl w:val="0"/>
        <w:shd w:val="clear" w:color="auto" w:fill="auto"/>
        <w:bidi w:val="0"/>
        <w:spacing w:before="0" w:line="240" w:lineRule="auto"/>
        <w:ind w:right="0" w:firstLine="0"/>
        <w:jc w:val="left"/>
      </w:pPr>
      <w:r>
        <w:fldChar w:fldCharType="begin"/>
      </w:r>
      <w:r>
        <w:rPr/>
        <w:instrText> HYPERLINK "mailto:kgbuzdkkb@dkkb.medkhv.ru" </w:instrText>
      </w:r>
      <w:r>
        <w:fldChar w:fldCharType="separate"/>
      </w:r>
      <w:r>
        <w:rPr>
          <w:rStyle w:val="CharStyle5"/>
        </w:rPr>
        <w:t>kgbuzdkkb@dkkb.medkhv.ru</w:t>
      </w:r>
      <w:r>
        <w:fldChar w:fldCharType="end"/>
      </w:r>
    </w:p>
    <w:p>
      <w:pPr>
        <w:pStyle w:val="Style2"/>
        <w:keepNext w:val="0"/>
        <w:keepLines w:val="0"/>
        <w:widowControl w:val="0"/>
        <w:shd w:val="clear" w:color="auto" w:fill="auto"/>
        <w:bidi w:val="0"/>
        <w:spacing w:before="0" w:after="0" w:line="240" w:lineRule="auto"/>
        <w:ind w:left="0" w:right="0" w:firstLine="620"/>
        <w:jc w:val="left"/>
      </w:pPr>
      <w:r>
        <w:rPr>
          <w:rStyle w:val="CharStyle3"/>
        </w:rPr>
        <w:t>о направлении решения</w:t>
      </w:r>
    </w:p>
    <w:p>
      <w:pPr>
        <w:pStyle w:val="Style2"/>
        <w:keepNext w:val="0"/>
        <w:keepLines w:val="0"/>
        <w:widowControl w:val="0"/>
        <w:shd w:val="clear" w:color="auto" w:fill="auto"/>
        <w:bidi w:val="0"/>
        <w:spacing w:before="0" w:after="0" w:line="240" w:lineRule="auto"/>
        <w:ind w:left="5160" w:right="0" w:firstLine="0"/>
        <w:jc w:val="left"/>
      </w:pPr>
      <w:r>
        <w:rPr>
          <w:rStyle w:val="CharStyle3"/>
        </w:rPr>
        <w:t>Комитет государственного заказа Правительства</w:t>
      </w:r>
    </w:p>
    <w:p>
      <w:pPr>
        <w:pStyle w:val="Style2"/>
        <w:keepNext w:val="0"/>
        <w:keepLines w:val="0"/>
        <w:widowControl w:val="0"/>
        <w:shd w:val="clear" w:color="auto" w:fill="auto"/>
        <w:bidi w:val="0"/>
        <w:spacing w:before="0" w:after="360" w:line="240" w:lineRule="auto"/>
        <w:ind w:left="5160" w:right="0" w:firstLine="0"/>
        <w:jc w:val="left"/>
      </w:pPr>
      <w:r>
        <w:rPr>
          <w:rStyle w:val="CharStyle3"/>
        </w:rPr>
        <w:t xml:space="preserve">Хабаровского края </w:t>
      </w:r>
      <w:r>
        <w:fldChar w:fldCharType="begin"/>
      </w:r>
      <w:r>
        <w:rPr/>
        <w:instrText> HYPERLINK "mailto:gz@khv.gov.ru" </w:instrText>
      </w:r>
      <w:r>
        <w:fldChar w:fldCharType="separate"/>
      </w:r>
      <w:r>
        <w:rPr>
          <w:rStyle w:val="CharStyle3"/>
          <w:lang w:val="en-US" w:eastAsia="en-US"/>
        </w:rPr>
        <w:t>gz@khv.gov.ru</w:t>
      </w:r>
      <w:r>
        <w:fldChar w:fldCharType="end"/>
      </w:r>
    </w:p>
    <w:p>
      <w:pPr>
        <w:pStyle w:val="Style2"/>
        <w:keepNext w:val="0"/>
        <w:keepLines w:val="0"/>
        <w:widowControl w:val="0"/>
        <w:shd w:val="clear" w:color="auto" w:fill="auto"/>
        <w:bidi w:val="0"/>
        <w:spacing w:before="0" w:after="320" w:line="240" w:lineRule="auto"/>
        <w:ind w:left="0" w:right="0" w:firstLine="0"/>
        <w:jc w:val="center"/>
      </w:pPr>
      <w:r>
        <w:rPr>
          <w:rStyle w:val="CharStyle3"/>
          <w:b/>
          <w:bCs/>
        </w:rPr>
        <w:t xml:space="preserve">РЕШЕНИЕ </w:t>
      </w:r>
      <w:r>
        <w:rPr>
          <w:rStyle w:val="CharStyle3"/>
          <w:b/>
          <w:bCs/>
          <w:lang w:val="en-US" w:eastAsia="en-US"/>
        </w:rPr>
        <w:t>№ 7-1/387</w:t>
      </w:r>
    </w:p>
    <w:p>
      <w:pPr>
        <w:pStyle w:val="Style2"/>
        <w:keepNext w:val="0"/>
        <w:keepLines w:val="0"/>
        <w:widowControl w:val="0"/>
        <w:shd w:val="clear" w:color="auto" w:fill="auto"/>
        <w:tabs>
          <w:tab w:pos="7901" w:val="left"/>
        </w:tabs>
        <w:bidi w:val="0"/>
        <w:spacing w:before="0" w:after="320" w:line="240" w:lineRule="auto"/>
        <w:ind w:left="0" w:right="0" w:firstLine="0"/>
        <w:jc w:val="both"/>
      </w:pPr>
      <w:r>
        <w:rPr>
          <w:rStyle w:val="CharStyle3"/>
          <w:lang w:val="en-US" w:eastAsia="en-US"/>
        </w:rPr>
        <w:t>27.10.2025</w:t>
        <w:tab/>
      </w:r>
      <w:r>
        <w:rPr>
          <w:rStyle w:val="CharStyle3"/>
        </w:rPr>
        <w:t>г. Хабаровск</w:t>
      </w:r>
    </w:p>
    <w:p>
      <w:pPr>
        <w:pStyle w:val="Style2"/>
        <w:keepNext w:val="0"/>
        <w:keepLines w:val="0"/>
        <w:widowControl w:val="0"/>
        <w:shd w:val="clear" w:color="auto" w:fill="auto"/>
        <w:bidi w:val="0"/>
        <w:spacing w:before="0" w:after="320" w:line="240" w:lineRule="auto"/>
        <w:ind w:left="0" w:right="0" w:firstLine="640"/>
        <w:jc w:val="left"/>
      </w:pPr>
      <w:r>
        <w:rPr>
          <w:rStyle w:val="CharStyle3"/>
        </w:rPr>
        <w:t>Комиссия Управления Федеральной антимонопольной службы по Хабаровскому краю отдела контроля закупок в составе:</w:t>
      </w:r>
    </w:p>
    <w:p>
      <w:pPr>
        <w:pStyle w:val="Style2"/>
        <w:keepNext w:val="0"/>
        <w:keepLines w:val="0"/>
        <w:widowControl w:val="0"/>
        <w:shd w:val="clear" w:color="auto" w:fill="auto"/>
        <w:bidi w:val="0"/>
        <w:spacing w:before="0" w:after="0" w:line="240" w:lineRule="auto"/>
        <w:ind w:left="0" w:right="0" w:firstLine="200"/>
        <w:jc w:val="left"/>
      </w:pPr>
      <w:r>
        <w:rPr>
          <w:rStyle w:val="CharStyle3"/>
        </w:rPr>
        <w:t>Председатель</w:t>
      </w:r>
    </w:p>
    <w:p>
      <w:pPr>
        <w:pStyle w:val="Style2"/>
        <w:keepNext w:val="0"/>
        <w:keepLines w:val="0"/>
        <w:widowControl w:val="0"/>
        <w:shd w:val="clear" w:color="auto" w:fill="auto"/>
        <w:bidi w:val="0"/>
        <w:spacing w:before="0" w:after="320" w:line="240" w:lineRule="auto"/>
        <w:ind w:left="0" w:right="0" w:firstLine="200"/>
        <w:jc w:val="left"/>
      </w:pPr>
      <w:r>
        <w:rPr>
          <w:rStyle w:val="CharStyle3"/>
        </w:rPr>
        <w:t>Комиссии:</w:t>
      </w:r>
    </w:p>
    <w:p>
      <w:pPr>
        <w:pStyle w:val="Style2"/>
        <w:keepNext w:val="0"/>
        <w:keepLines w:val="0"/>
        <w:widowControl w:val="0"/>
        <w:shd w:val="clear" w:color="auto" w:fill="auto"/>
        <w:bidi w:val="0"/>
        <w:spacing w:before="0" w:after="1100" w:line="240" w:lineRule="auto"/>
        <w:ind w:left="0" w:right="0" w:firstLine="200"/>
        <w:jc w:val="left"/>
      </w:pPr>
      <w:r>
        <w:rPr>
          <w:rStyle w:val="CharStyle3"/>
        </w:rPr>
        <w:t>Члены Комиссии:</w:t>
      </w:r>
    </w:p>
    <w:p>
      <w:pPr>
        <w:pStyle w:val="Style2"/>
        <w:keepNext w:val="0"/>
        <w:keepLines w:val="0"/>
        <w:widowControl w:val="0"/>
        <w:shd w:val="clear" w:color="auto" w:fill="auto"/>
        <w:bidi w:val="0"/>
        <w:spacing w:before="0" w:after="0" w:line="240" w:lineRule="auto"/>
        <w:ind w:left="0" w:right="0" w:firstLine="800"/>
        <w:jc w:val="left"/>
      </w:pPr>
      <w:r>
        <w:rPr>
          <w:rStyle w:val="CharStyle3"/>
        </w:rPr>
        <w:t>в присутствии представителей от:</w:t>
      </w:r>
    </w:p>
    <w:p>
      <w:pPr>
        <w:pStyle w:val="Style2"/>
        <w:keepNext w:val="0"/>
        <w:keepLines w:val="0"/>
        <w:widowControl w:val="0"/>
        <w:numPr>
          <w:ilvl w:val="0"/>
          <w:numId w:val="1"/>
        </w:numPr>
        <w:shd w:val="clear" w:color="auto" w:fill="auto"/>
        <w:tabs>
          <w:tab w:pos="987" w:val="left"/>
        </w:tabs>
        <w:bidi w:val="0"/>
        <w:spacing w:before="0" w:after="0" w:line="240" w:lineRule="auto"/>
        <w:ind w:left="0" w:right="0" w:firstLine="800"/>
        <w:jc w:val="both"/>
      </w:pPr>
      <w:r>
        <w:rPr>
          <w:rStyle w:val="CharStyle3"/>
        </w:rPr>
        <w:t xml:space="preserve">уполномоченного органа </w:t>
      </w:r>
      <w:r>
        <w:rPr>
          <w:rStyle w:val="CharStyle3"/>
          <w:lang w:val="en-US" w:eastAsia="en-US"/>
        </w:rPr>
        <w:t xml:space="preserve">– </w:t>
      </w:r>
      <w:r>
        <w:rPr>
          <w:rStyle w:val="CharStyle3"/>
        </w:rPr>
        <w:t xml:space="preserve">Немиро Н.В. по доверенности от </w:t>
      </w:r>
      <w:r>
        <w:rPr>
          <w:rStyle w:val="CharStyle3"/>
          <w:lang w:val="en-US" w:eastAsia="en-US"/>
        </w:rPr>
        <w:t>04.04.2025 № 1,</w:t>
      </w:r>
    </w:p>
    <w:p>
      <w:pPr>
        <w:pStyle w:val="Style2"/>
        <w:keepNext w:val="0"/>
        <w:keepLines w:val="0"/>
        <w:widowControl w:val="0"/>
        <w:numPr>
          <w:ilvl w:val="0"/>
          <w:numId w:val="1"/>
        </w:numPr>
        <w:shd w:val="clear" w:color="auto" w:fill="auto"/>
        <w:tabs>
          <w:tab w:pos="1674" w:val="left"/>
          <w:tab w:pos="5283" w:val="left"/>
        </w:tabs>
        <w:bidi w:val="0"/>
        <w:spacing w:before="0" w:after="0" w:line="240" w:lineRule="auto"/>
        <w:ind w:left="0" w:right="0" w:firstLine="800"/>
        <w:jc w:val="left"/>
      </w:pPr>
      <w:r>
        <w:rPr>
          <w:rStyle w:val="CharStyle3"/>
        </w:rPr>
        <w:t xml:space="preserve">заявителя </w:t>
      </w:r>
      <w:r>
        <w:rPr>
          <w:rStyle w:val="CharStyle3"/>
          <w:lang w:val="en-US" w:eastAsia="en-US"/>
        </w:rPr>
        <w:t xml:space="preserve">- </w:t>
      </w:r>
      <w:r>
        <w:rPr>
          <w:rStyle w:val="CharStyle3"/>
        </w:rPr>
        <w:t>АО «Дальоптторг»:</w:t>
        <w:tab/>
        <w:t>Макеев А.Н. по доверенности от</w:t>
      </w:r>
    </w:p>
    <w:p>
      <w:pPr>
        <w:pStyle w:val="Style2"/>
        <w:keepNext w:val="0"/>
        <w:keepLines w:val="0"/>
        <w:widowControl w:val="0"/>
        <w:shd w:val="clear" w:color="auto" w:fill="auto"/>
        <w:bidi w:val="0"/>
        <w:spacing w:before="0" w:after="0" w:line="240" w:lineRule="auto"/>
        <w:ind w:left="0" w:right="0" w:firstLine="0"/>
        <w:jc w:val="left"/>
      </w:pPr>
      <w:r>
        <w:rPr>
          <w:rStyle w:val="CharStyle3"/>
          <w:lang w:val="en-US" w:eastAsia="en-US"/>
        </w:rPr>
        <w:t>21.10.2025 № 001</w:t>
      </w:r>
    </w:p>
    <w:p>
      <w:pPr>
        <w:pStyle w:val="Style2"/>
        <w:keepNext w:val="0"/>
        <w:keepLines w:val="0"/>
        <w:widowControl w:val="0"/>
        <w:numPr>
          <w:ilvl w:val="0"/>
          <w:numId w:val="1"/>
        </w:numPr>
        <w:shd w:val="clear" w:color="auto" w:fill="auto"/>
        <w:tabs>
          <w:tab w:pos="1059" w:val="left"/>
        </w:tabs>
        <w:bidi w:val="0"/>
        <w:spacing w:before="0" w:after="0" w:line="240" w:lineRule="auto"/>
        <w:ind w:left="0" w:right="0" w:firstLine="800"/>
        <w:jc w:val="both"/>
      </w:pPr>
      <w:r>
        <w:rPr>
          <w:rStyle w:val="CharStyle3"/>
        </w:rPr>
        <w:t xml:space="preserve">заказчика </w:t>
      </w:r>
      <w:r>
        <w:rPr>
          <w:rStyle w:val="CharStyle3"/>
          <w:lang w:val="en-US" w:eastAsia="en-US"/>
        </w:rPr>
        <w:t xml:space="preserve">- </w:t>
      </w:r>
      <w:r>
        <w:rPr>
          <w:rStyle w:val="CharStyle3"/>
        </w:rPr>
        <w:t>КГБУЗ «Детская краевая клиническая больница» им. А.К. Пиотровича Министерства здравоохранения Хабаровского края (о дате, времени, месте рассмотрения дела уведомлены надлежащим образом, явку представителя не обеспечили),</w:t>
      </w:r>
    </w:p>
    <w:p>
      <w:pPr>
        <w:pStyle w:val="Style2"/>
        <w:keepNext w:val="0"/>
        <w:keepLines w:val="0"/>
        <w:widowControl w:val="0"/>
        <w:shd w:val="clear" w:color="auto" w:fill="auto"/>
        <w:bidi w:val="0"/>
        <w:spacing w:before="0" w:after="640" w:line="240" w:lineRule="auto"/>
        <w:ind w:left="0" w:right="0" w:firstLine="800"/>
        <w:jc w:val="both"/>
      </w:pPr>
      <w:r>
        <w:rPr>
          <w:rStyle w:val="CharStyle3"/>
        </w:rPr>
        <w:t xml:space="preserve">рассмотрев жалобу </w:t>
      </w:r>
      <w:r>
        <w:rPr>
          <w:rStyle w:val="CharStyle3"/>
          <w:lang w:val="en-US" w:eastAsia="en-US"/>
        </w:rPr>
        <w:t xml:space="preserve">- </w:t>
      </w:r>
      <w:r>
        <w:rPr>
          <w:rStyle w:val="CharStyle3"/>
        </w:rPr>
        <w:t xml:space="preserve">ООО «Дальоптторг» и материалы дела </w:t>
      </w:r>
      <w:r>
        <w:rPr>
          <w:rStyle w:val="CharStyle3"/>
          <w:lang w:val="en-US" w:eastAsia="en-US"/>
        </w:rPr>
        <w:t xml:space="preserve">№ 027/06/105-1811/2025, </w:t>
      </w:r>
      <w:r>
        <w:rPr>
          <w:rStyle w:val="CharStyle3"/>
        </w:rPr>
        <w:t>Комиссия Хабаровского УФАС России</w:t>
      </w:r>
    </w:p>
    <w:p>
      <w:pPr>
        <w:pStyle w:val="Style2"/>
        <w:keepNext w:val="0"/>
        <w:keepLines w:val="0"/>
        <w:widowControl w:val="0"/>
        <w:shd w:val="clear" w:color="auto" w:fill="auto"/>
        <w:bidi w:val="0"/>
        <w:spacing w:before="0" w:after="32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 Управление Федеральной антимонопольной службы по Хабаровскому краю поступила жалоба ООО «Дальоптторг» на действия заказчика </w:t>
      </w:r>
      <w:r>
        <w:rPr>
          <w:rStyle w:val="CharStyle3"/>
          <w:lang w:val="en-US" w:eastAsia="en-US"/>
        </w:rPr>
        <w:t xml:space="preserve">– </w:t>
      </w:r>
      <w:r>
        <w:rPr>
          <w:rStyle w:val="CharStyle3"/>
        </w:rPr>
        <w:t xml:space="preserve">КГБУЗ «Детская краевая клиническая больница» им. А.К. Пиотровича Министерства здравоохранения Хабаровского края, уполномоченного органа </w:t>
      </w:r>
      <w:r>
        <w:rPr>
          <w:rStyle w:val="CharStyle3"/>
          <w:lang w:val="en-US" w:eastAsia="en-US"/>
        </w:rPr>
        <w:t xml:space="preserve">- </w:t>
      </w:r>
      <w:r>
        <w:rPr>
          <w:rStyle w:val="CharStyle3"/>
        </w:rPr>
        <w:t xml:space="preserve">Комитета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набора ангиографического (извещение </w:t>
      </w:r>
      <w:r>
        <w:rPr>
          <w:rStyle w:val="CharStyle3"/>
          <w:lang w:val="en-US" w:eastAsia="en-US"/>
        </w:rPr>
        <w:t>№ 0122200002525003794).</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Заявитель указывает в своей жалобе на нарушение заказчиком, уполномоченным органом требований Федерального закона </w:t>
      </w:r>
      <w:r>
        <w:rPr>
          <w:rStyle w:val="CharStyle3"/>
          <w:lang w:val="en-US" w:eastAsia="en-US"/>
        </w:rPr>
        <w:t xml:space="preserve">№ </w:t>
      </w:r>
      <w:r>
        <w:rPr>
          <w:rStyle w:val="CharStyle3"/>
        </w:rPr>
        <w:t xml:space="preserve">44-ФЗ от </w:t>
      </w:r>
      <w:r>
        <w:rPr>
          <w:rStyle w:val="CharStyle3"/>
          <w:lang w:val="en-US" w:eastAsia="en-US"/>
        </w:rPr>
        <w:t xml:space="preserve">05.04.2013 </w:t>
      </w:r>
      <w:r>
        <w:rPr>
          <w:rStyle w:val="CharStyle3"/>
        </w:rPr>
        <w:t xml:space="preserve">«О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 а именно: заказчиком, уполномоченным органом неправомерно выбран победитель данного запроса котировок в электронной форме.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 основании статьи </w:t>
      </w:r>
      <w:r>
        <w:rPr>
          <w:rStyle w:val="CharStyle3"/>
          <w:lang w:val="en-US" w:eastAsia="en-US"/>
        </w:rPr>
        <w:t xml:space="preserve">99 </w:t>
      </w:r>
      <w:r>
        <w:rPr>
          <w:rStyle w:val="CharStyle3"/>
        </w:rPr>
        <w:t xml:space="preserve">Федерального закона </w:t>
      </w:r>
      <w:r>
        <w:rPr>
          <w:rStyle w:val="CharStyle3"/>
          <w:lang w:val="en-US" w:eastAsia="en-US"/>
        </w:rPr>
        <w:t xml:space="preserve">№ </w:t>
      </w:r>
      <w:r>
        <w:rPr>
          <w:rStyle w:val="CharStyle3"/>
        </w:rPr>
        <w:t xml:space="preserve">44-ФЗ от </w:t>
      </w:r>
      <w:r>
        <w:rPr>
          <w:rStyle w:val="CharStyle3"/>
          <w:lang w:val="en-US" w:eastAsia="en-US"/>
        </w:rPr>
        <w:t xml:space="preserve">05.04.2013 </w:t>
      </w:r>
      <w:r>
        <w:rPr>
          <w:rStyle w:val="CharStyle3"/>
        </w:rPr>
        <w:t xml:space="preserve">«О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 Хабаровским УФАС России принято решение о проведении внеплановой проверки, по результатам проведения которой установлено следующее.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Извещение </w:t>
      </w:r>
      <w:r>
        <w:rPr>
          <w:rStyle w:val="CharStyle3"/>
          <w:lang w:val="en-US" w:eastAsia="en-US"/>
        </w:rPr>
        <w:t xml:space="preserve">№ 0122200002525003794 </w:t>
      </w:r>
      <w:r>
        <w:rPr>
          <w:rStyle w:val="CharStyle3"/>
        </w:rPr>
        <w:t xml:space="preserve">о проведении запроса котировок в электронной форме размещено на официальном сайте единой информационной системы в сфере закупок </w:t>
      </w:r>
      <w:r>
        <w:rPr>
          <w:rStyle w:val="CharStyle3"/>
          <w:lang w:val="en-US" w:eastAsia="en-US"/>
        </w:rPr>
        <w:t>09.10.2025.</w:t>
      </w:r>
    </w:p>
    <w:p>
      <w:pPr>
        <w:pStyle w:val="Style2"/>
        <w:keepNext w:val="0"/>
        <w:keepLines w:val="0"/>
        <w:widowControl w:val="0"/>
        <w:shd w:val="clear" w:color="auto" w:fill="auto"/>
        <w:bidi w:val="0"/>
        <w:spacing w:before="0" w:after="0" w:line="240" w:lineRule="auto"/>
        <w:ind w:left="0" w:right="0" w:firstLine="720"/>
        <w:jc w:val="both"/>
      </w:pPr>
      <w:r>
        <w:rPr>
          <w:rStyle w:val="CharStyle3"/>
        </w:rPr>
        <w:t>Объект закупки: поставка набора ангиографического.</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Дата и время окончания срока подачи заявок: </w:t>
      </w:r>
      <w:r>
        <w:rPr>
          <w:rStyle w:val="CharStyle3"/>
          <w:lang w:val="en-US" w:eastAsia="en-US"/>
        </w:rPr>
        <w:t>16.10.2025 08:00.</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Начальная (максимальная) цена контракта составляет </w:t>
      </w:r>
      <w:r>
        <w:rPr>
          <w:rStyle w:val="CharStyle3"/>
          <w:lang w:val="en-US" w:eastAsia="en-US"/>
        </w:rPr>
        <w:t xml:space="preserve">933 775,00 </w:t>
      </w:r>
      <w:r>
        <w:rPr>
          <w:rStyle w:val="CharStyle3"/>
        </w:rPr>
        <w:t>рублей.</w:t>
      </w:r>
    </w:p>
    <w:p>
      <w:pPr>
        <w:pStyle w:val="Style2"/>
        <w:keepNext w:val="0"/>
        <w:keepLines w:val="0"/>
        <w:widowControl w:val="0"/>
        <w:shd w:val="clear" w:color="auto" w:fill="auto"/>
        <w:bidi w:val="0"/>
        <w:spacing w:before="0" w:after="0" w:line="240" w:lineRule="auto"/>
        <w:ind w:left="0" w:right="0" w:firstLine="560"/>
        <w:jc w:val="both"/>
      </w:pPr>
      <w:r>
        <w:rPr>
          <w:rStyle w:val="CharStyle3"/>
        </w:rPr>
        <w:t>Уполномоченным органом в материалы дела представлен мотивированный отзыв, согласно которому считает жалобу необоснованной.</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Изучив материалы дела </w:t>
      </w:r>
      <w:r>
        <w:rPr>
          <w:rStyle w:val="CharStyle3"/>
          <w:lang w:val="en-US" w:eastAsia="en-US"/>
        </w:rPr>
        <w:t xml:space="preserve">№ 027/06/105-1811/2025, </w:t>
      </w:r>
      <w:r>
        <w:rPr>
          <w:rStyle w:val="CharStyle3"/>
        </w:rPr>
        <w:t>исходя из конкретных обстоятельств настоящего дела, Комиссия Хабаровского УФАС России пришла к следующим выводам.</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В силу ч. </w:t>
      </w:r>
      <w:r>
        <w:rPr>
          <w:rStyle w:val="CharStyle3"/>
          <w:lang w:val="en-US" w:eastAsia="en-US"/>
        </w:rPr>
        <w:t xml:space="preserve">1 </w:t>
      </w:r>
      <w:r>
        <w:rPr>
          <w:rStyle w:val="CharStyle3"/>
        </w:rPr>
        <w:t xml:space="preserve">ст. </w:t>
      </w:r>
      <w:r>
        <w:rPr>
          <w:rStyle w:val="CharStyle3"/>
          <w:lang w:val="en-US" w:eastAsia="en-US"/>
        </w:rPr>
        <w:t xml:space="preserve">1 </w:t>
      </w:r>
      <w:r>
        <w:rPr>
          <w:rStyle w:val="CharStyle3"/>
        </w:rPr>
        <w:t>Закона о контрактной системе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2"/>
        <w:keepNext w:val="0"/>
        <w:keepLines w:val="0"/>
        <w:widowControl w:val="0"/>
        <w:shd w:val="clear" w:color="auto" w:fill="auto"/>
        <w:bidi w:val="0"/>
        <w:spacing w:before="0" w:after="0" w:line="240" w:lineRule="auto"/>
        <w:ind w:left="0" w:right="0" w:firstLine="560"/>
        <w:jc w:val="both"/>
      </w:pPr>
      <w:r>
        <w:rPr>
          <w:rStyle w:val="CharStyle3"/>
        </w:rPr>
        <w:t>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муниципальных нужд, эффективности осуществления закупок (ст. </w:t>
      </w:r>
      <w:r>
        <w:rPr>
          <w:rStyle w:val="CharStyle3"/>
          <w:lang w:val="en-US" w:eastAsia="en-US"/>
        </w:rPr>
        <w:t xml:space="preserve">6 </w:t>
      </w:r>
      <w:r>
        <w:rPr>
          <w:rStyle w:val="CharStyle3"/>
        </w:rPr>
        <w:t>Закона о контрактной системе).</w:t>
      </w:r>
    </w:p>
    <w:p>
      <w:pPr>
        <w:pStyle w:val="Style2"/>
        <w:keepNext w:val="0"/>
        <w:keepLines w:val="0"/>
        <w:widowControl w:val="0"/>
        <w:shd w:val="clear" w:color="auto" w:fill="auto"/>
        <w:bidi w:val="0"/>
        <w:spacing w:before="0" w:after="0" w:line="240" w:lineRule="auto"/>
        <w:ind w:left="0" w:right="0" w:firstLine="560"/>
        <w:jc w:val="both"/>
      </w:pPr>
      <w:r>
        <w:rPr>
          <w:rStyle w:val="CharStyle3"/>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В соответствии с ч. </w:t>
      </w:r>
      <w:r>
        <w:rPr>
          <w:rStyle w:val="CharStyle3"/>
          <w:lang w:val="en-US" w:eastAsia="en-US"/>
        </w:rPr>
        <w:t xml:space="preserve">1 </w:t>
      </w:r>
      <w:r>
        <w:rPr>
          <w:rStyle w:val="CharStyle3"/>
        </w:rPr>
        <w:t xml:space="preserve">ст. </w:t>
      </w:r>
      <w:r>
        <w:rPr>
          <w:rStyle w:val="CharStyle3"/>
          <w:lang w:val="en-US" w:eastAsia="en-US"/>
        </w:rPr>
        <w:t xml:space="preserve">12 </w:t>
      </w:r>
      <w:r>
        <w:rPr>
          <w:rStyle w:val="CharStyle3"/>
        </w:rPr>
        <w:t>Закона о контрактной системе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Согласно ч. </w:t>
      </w:r>
      <w:r>
        <w:rPr>
          <w:rStyle w:val="CharStyle3"/>
          <w:lang w:val="en-US" w:eastAsia="en-US"/>
        </w:rPr>
        <w:t xml:space="preserve">1 </w:t>
      </w:r>
      <w:r>
        <w:rPr>
          <w:rStyle w:val="CharStyle3"/>
        </w:rPr>
        <w:t xml:space="preserve">ст. </w:t>
      </w:r>
      <w:r>
        <w:rPr>
          <w:rStyle w:val="CharStyle3"/>
          <w:lang w:val="en-US" w:eastAsia="en-US"/>
        </w:rPr>
        <w:t xml:space="preserve">50 </w:t>
      </w:r>
      <w:r>
        <w:rPr>
          <w:rStyle w:val="CharStyle3"/>
        </w:rPr>
        <w:t xml:space="preserve">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w:t>
      </w:r>
      <w:r>
        <w:rPr>
          <w:rStyle w:val="CharStyle3"/>
          <w:lang w:val="en-US" w:eastAsia="en-US"/>
        </w:rPr>
        <w:t xml:space="preserve">- </w:t>
      </w:r>
      <w:r>
        <w:rPr>
          <w:rStyle w:val="CharStyle3"/>
        </w:rPr>
        <w:t xml:space="preserve">"п" пункта </w:t>
      </w:r>
      <w:r>
        <w:rPr>
          <w:rStyle w:val="CharStyle3"/>
          <w:lang w:val="en-US" w:eastAsia="en-US"/>
        </w:rPr>
        <w:t xml:space="preserve">1, </w:t>
      </w:r>
      <w:r>
        <w:rPr>
          <w:rStyle w:val="CharStyle3"/>
        </w:rPr>
        <w:t xml:space="preserve">подпунктами "а" </w:t>
      </w:r>
      <w:r>
        <w:rPr>
          <w:rStyle w:val="CharStyle3"/>
          <w:lang w:val="en-US" w:eastAsia="en-US"/>
        </w:rPr>
        <w:t xml:space="preserve">- </w:t>
      </w:r>
      <w:r>
        <w:rPr>
          <w:rStyle w:val="CharStyle3"/>
        </w:rPr>
        <w:t xml:space="preserve">"в" пункта </w:t>
      </w:r>
      <w:r>
        <w:rPr>
          <w:rStyle w:val="CharStyle3"/>
          <w:lang w:val="en-US" w:eastAsia="en-US"/>
        </w:rPr>
        <w:t xml:space="preserve">2, </w:t>
      </w:r>
      <w:r>
        <w:rPr>
          <w:rStyle w:val="CharStyle3"/>
        </w:rPr>
        <w:t xml:space="preserve">пунктом </w:t>
      </w:r>
      <w:r>
        <w:rPr>
          <w:rStyle w:val="CharStyle3"/>
          <w:lang w:val="en-US" w:eastAsia="en-US"/>
        </w:rPr>
        <w:t xml:space="preserve">3 </w:t>
      </w:r>
      <w:r>
        <w:rPr>
          <w:rStyle w:val="CharStyle3"/>
        </w:rPr>
        <w:t xml:space="preserve">или пунктом </w:t>
      </w:r>
      <w:r>
        <w:rPr>
          <w:rStyle w:val="CharStyle3"/>
          <w:lang w:val="en-US" w:eastAsia="en-US"/>
        </w:rPr>
        <w:t xml:space="preserve">4, </w:t>
      </w:r>
      <w:r>
        <w:rPr>
          <w:rStyle w:val="CharStyle3"/>
        </w:rPr>
        <w:t xml:space="preserve">пунктом </w:t>
      </w:r>
      <w:r>
        <w:rPr>
          <w:rStyle w:val="CharStyle3"/>
          <w:lang w:val="en-US" w:eastAsia="en-US"/>
        </w:rPr>
        <w:t xml:space="preserve">5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 xml:space="preserve">настоящего Федерального закона. Заявка также может содержать информацию и документы, предусмотренные подпунктом "д" пункта </w:t>
      </w:r>
      <w:r>
        <w:rPr>
          <w:rStyle w:val="CharStyle3"/>
          <w:lang w:val="en-US" w:eastAsia="en-US"/>
        </w:rPr>
        <w:t xml:space="preserve">2 </w:t>
      </w:r>
      <w:r>
        <w:rPr>
          <w:rStyle w:val="CharStyle3"/>
        </w:rPr>
        <w:t xml:space="preserve">части </w:t>
      </w:r>
      <w:r>
        <w:rPr>
          <w:rStyle w:val="CharStyle3"/>
          <w:lang w:val="en-US" w:eastAsia="en-US"/>
        </w:rPr>
        <w:t xml:space="preserve">1 </w:t>
      </w:r>
      <w:r>
        <w:rPr>
          <w:rStyle w:val="CharStyle3"/>
        </w:rPr>
        <w:t xml:space="preserve">статьи </w:t>
      </w:r>
      <w:r>
        <w:rPr>
          <w:rStyle w:val="CharStyle3"/>
          <w:lang w:val="en-US" w:eastAsia="en-US"/>
        </w:rPr>
        <w:t xml:space="preserve">43 </w:t>
      </w:r>
      <w:r>
        <w:rPr>
          <w:rStyle w:val="CharStyle3"/>
        </w:rPr>
        <w:t>настоящего Федерального закона.</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 </w:t>
      </w:r>
      <w:r>
        <w:rPr>
          <w:rStyle w:val="CharStyle3"/>
          <w:lang w:val="en-US" w:eastAsia="en-US"/>
        </w:rPr>
        <w:t xml:space="preserve">1) </w:t>
      </w:r>
      <w:r>
        <w:rPr>
          <w:rStyle w:val="CharStyle3"/>
        </w:rPr>
        <w:t xml:space="preserve">члены комиссии по осуществлению закупок: а) рассматривают заявки на участие в закупке, информацию и документы, направленные оператором электронной площадки в соответствии с частью </w:t>
      </w:r>
      <w:r>
        <w:rPr>
          <w:rStyle w:val="CharStyle3"/>
          <w:lang w:val="en-US" w:eastAsia="en-US"/>
        </w:rPr>
        <w:t xml:space="preserve">2 </w:t>
      </w:r>
      <w:r>
        <w:rPr>
          <w:rStyle w:val="CharStyle3"/>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3"/>
          <w:lang w:val="en-US" w:eastAsia="en-US"/>
        </w:rPr>
        <w:t xml:space="preserve">1 - 8 </w:t>
      </w:r>
      <w:r>
        <w:rPr>
          <w:rStyle w:val="CharStyle3"/>
        </w:rPr>
        <w:t xml:space="preserve">части </w:t>
      </w:r>
      <w:r>
        <w:rPr>
          <w:rStyle w:val="CharStyle3"/>
          <w:lang w:val="en-US" w:eastAsia="en-US"/>
        </w:rPr>
        <w:t xml:space="preserve">12 </w:t>
      </w:r>
      <w:r>
        <w:rPr>
          <w:rStyle w:val="CharStyle3"/>
        </w:rPr>
        <w:t xml:space="preserve">статьи </w:t>
      </w:r>
      <w:r>
        <w:rPr>
          <w:rStyle w:val="CharStyle3"/>
          <w:lang w:val="en-US" w:eastAsia="en-US"/>
        </w:rPr>
        <w:t xml:space="preserve">48 </w:t>
      </w:r>
      <w:r>
        <w:rPr>
          <w:rStyle w:val="CharStyle3"/>
        </w:rPr>
        <w:t xml:space="preserve">настоящего Федерального закона (пп. «а» п. </w:t>
      </w:r>
      <w:r>
        <w:rPr>
          <w:rStyle w:val="CharStyle3"/>
          <w:lang w:val="en-US" w:eastAsia="en-US"/>
        </w:rPr>
        <w:t xml:space="preserve">1 </w:t>
      </w:r>
      <w:r>
        <w:rPr>
          <w:rStyle w:val="CharStyle3"/>
        </w:rPr>
        <w:t xml:space="preserve">ч. </w:t>
      </w:r>
      <w:r>
        <w:rPr>
          <w:rStyle w:val="CharStyle3"/>
          <w:lang w:val="en-US" w:eastAsia="en-US"/>
        </w:rPr>
        <w:t xml:space="preserve">3 </w:t>
      </w:r>
      <w:r>
        <w:rPr>
          <w:rStyle w:val="CharStyle3"/>
        </w:rPr>
        <w:t xml:space="preserve">ст. </w:t>
      </w:r>
      <w:r>
        <w:rPr>
          <w:rStyle w:val="CharStyle3"/>
          <w:lang w:val="en-US" w:eastAsia="en-US"/>
        </w:rPr>
        <w:t xml:space="preserve">50 </w:t>
      </w:r>
      <w:r>
        <w:rPr>
          <w:rStyle w:val="CharStyle3"/>
        </w:rPr>
        <w:t>Закона о контрактной системе).</w:t>
      </w:r>
    </w:p>
    <w:p>
      <w:pPr>
        <w:pStyle w:val="Style10"/>
        <w:keepNext w:val="0"/>
        <w:keepLines w:val="0"/>
        <w:widowControl w:val="0"/>
        <w:shd w:val="clear" w:color="auto" w:fill="auto"/>
        <w:bidi w:val="0"/>
        <w:spacing w:before="0" w:after="0" w:line="240" w:lineRule="auto"/>
        <w:ind w:left="14" w:right="0" w:firstLine="0"/>
        <w:jc w:val="left"/>
      </w:pPr>
      <w:r>
        <w:rPr>
          <w:rStyle w:val="CharStyle11"/>
        </w:rPr>
        <w:t>В соответствии с Технической частью «Описание объекта закупки» заказчиком требуется к поставке следующий товар:</w:t>
      </w:r>
    </w:p>
    <w:tbl>
      <w:tblPr>
        <w:tblOverlap w:val="never"/>
        <w:jc w:val="center"/>
        <w:tblLayout w:type="fixed"/>
      </w:tblPr>
      <w:tblGrid>
        <w:gridCol w:w="605"/>
        <w:gridCol w:w="4282"/>
        <w:gridCol w:w="1565"/>
        <w:gridCol w:w="3096"/>
      </w:tblGrid>
      <w:tr>
        <w:trPr>
          <w:trHeight w:val="730" w:hRule="exact"/>
        </w:trPr>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09" w:lineRule="auto"/>
              <w:ind w:left="0" w:right="0" w:firstLine="0"/>
              <w:jc w:val="center"/>
              <w:rPr>
                <w:sz w:val="24"/>
                <w:szCs w:val="24"/>
              </w:rPr>
            </w:pPr>
            <w:r>
              <w:rPr>
                <w:rStyle w:val="CharStyle13"/>
                <w:b/>
                <w:bCs/>
                <w:sz w:val="24"/>
                <w:szCs w:val="24"/>
                <w:lang w:val="en-US" w:eastAsia="en-US"/>
              </w:rPr>
              <w:t xml:space="preserve">№ </w:t>
            </w:r>
            <w:r>
              <w:rPr>
                <w:rStyle w:val="CharStyle13"/>
                <w:b/>
                <w:bCs/>
                <w:sz w:val="24"/>
                <w:szCs w:val="24"/>
              </w:rPr>
              <w:t>п/п</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09" w:lineRule="auto"/>
              <w:ind w:left="0" w:right="0" w:firstLine="0"/>
              <w:jc w:val="center"/>
              <w:rPr>
                <w:sz w:val="24"/>
                <w:szCs w:val="24"/>
              </w:rPr>
            </w:pPr>
            <w:r>
              <w:rPr>
                <w:rStyle w:val="CharStyle13"/>
                <w:b/>
                <w:bCs/>
                <w:sz w:val="24"/>
                <w:szCs w:val="24"/>
              </w:rPr>
              <w:t>Наименование товара, его показателей (характеристик), потребительских свойств</w:t>
            </w:r>
          </w:p>
        </w:tc>
        <w:tc>
          <w:tcPr>
            <w:tcBorders>
              <w:top w:val="single" w:sz="4"/>
              <w:left w:val="single" w:sz="4"/>
            </w:tcBorders>
            <w:shd w:val="clear" w:color="auto" w:fill="auto"/>
            <w:vAlign w:val="center"/>
          </w:tcPr>
          <w:p>
            <w:pPr>
              <w:pStyle w:val="Style12"/>
              <w:keepNext w:val="0"/>
              <w:keepLines w:val="0"/>
              <w:widowControl w:val="0"/>
              <w:shd w:val="clear" w:color="auto" w:fill="auto"/>
              <w:bidi w:val="0"/>
              <w:spacing w:before="0" w:after="0" w:line="240" w:lineRule="auto"/>
              <w:ind w:left="0" w:right="0" w:firstLine="0"/>
              <w:jc w:val="center"/>
              <w:rPr>
                <w:sz w:val="24"/>
                <w:szCs w:val="24"/>
              </w:rPr>
            </w:pPr>
            <w:r>
              <w:rPr>
                <w:rStyle w:val="CharStyle13"/>
                <w:b/>
                <w:bCs/>
                <w:sz w:val="24"/>
                <w:szCs w:val="24"/>
              </w:rPr>
              <w:t>Ед. изм.</w:t>
            </w:r>
          </w:p>
        </w:tc>
        <w:tc>
          <w:tcPr>
            <w:tcBorders>
              <w:top w:val="single" w:sz="4"/>
              <w:left w:val="single" w:sz="4"/>
              <w:right w:val="single" w:sz="4"/>
            </w:tcBorders>
            <w:shd w:val="clear" w:color="auto" w:fill="auto"/>
            <w:vAlign w:val="center"/>
          </w:tcPr>
          <w:p>
            <w:pPr>
              <w:pStyle w:val="Style12"/>
              <w:keepNext w:val="0"/>
              <w:keepLines w:val="0"/>
              <w:widowControl w:val="0"/>
              <w:shd w:val="clear" w:color="auto" w:fill="auto"/>
              <w:bidi w:val="0"/>
              <w:spacing w:before="0" w:after="0" w:line="209" w:lineRule="auto"/>
              <w:ind w:left="0" w:right="0" w:firstLine="0"/>
              <w:jc w:val="center"/>
              <w:rPr>
                <w:sz w:val="24"/>
                <w:szCs w:val="24"/>
              </w:rPr>
            </w:pPr>
            <w:r>
              <w:rPr>
                <w:rStyle w:val="CharStyle13"/>
                <w:b/>
                <w:bCs/>
                <w:sz w:val="24"/>
                <w:szCs w:val="24"/>
              </w:rPr>
              <w:t>Значение показателя (характеристики)</w:t>
            </w:r>
          </w:p>
        </w:tc>
      </w:tr>
      <w:tr>
        <w:trPr>
          <w:trHeight w:val="254"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4"/>
                <w:szCs w:val="24"/>
              </w:rPr>
            </w:pPr>
            <w:r>
              <w:rPr>
                <w:rStyle w:val="CharStyle13"/>
                <w:sz w:val="24"/>
                <w:szCs w:val="24"/>
                <w:lang w:val="en-US" w:eastAsia="en-US"/>
              </w:rPr>
              <w:t>1</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4"/>
                <w:szCs w:val="24"/>
              </w:rPr>
            </w:pPr>
            <w:r>
              <w:rPr>
                <w:rStyle w:val="CharStyle13"/>
                <w:sz w:val="24"/>
                <w:szCs w:val="24"/>
                <w:lang w:val="en-US" w:eastAsia="en-US"/>
              </w:rPr>
              <w:t>2</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4"/>
                <w:szCs w:val="24"/>
              </w:rPr>
            </w:pPr>
            <w:r>
              <w:rPr>
                <w:rStyle w:val="CharStyle13"/>
                <w:sz w:val="24"/>
                <w:szCs w:val="24"/>
                <w:lang w:val="en-US" w:eastAsia="en-US"/>
              </w:rPr>
              <w:t>3</w:t>
            </w:r>
          </w:p>
        </w:tc>
        <w:tc>
          <w:tcPr>
            <w:tcBorders>
              <w:top w:val="single" w:sz="4"/>
              <w:left w:val="single" w:sz="4"/>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4"/>
                <w:szCs w:val="24"/>
              </w:rPr>
            </w:pPr>
            <w:r>
              <w:rPr>
                <w:rStyle w:val="CharStyle13"/>
                <w:sz w:val="24"/>
                <w:szCs w:val="24"/>
                <w:lang w:val="en-US" w:eastAsia="en-US"/>
              </w:rPr>
              <w:t>4</w:t>
            </w:r>
          </w:p>
        </w:tc>
      </w:tr>
      <w:tr>
        <w:trPr>
          <w:trHeight w:val="528" w:hRule="exact"/>
        </w:trPr>
        <w:tc>
          <w:tcPr>
            <w:tcBorders>
              <w:top w:val="single" w:sz="4"/>
              <w:left w:val="single" w:sz="4"/>
              <w:bottom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center"/>
              <w:rPr>
                <w:sz w:val="22"/>
                <w:szCs w:val="22"/>
              </w:rPr>
            </w:pPr>
            <w:r>
              <w:rPr>
                <w:rStyle w:val="CharStyle13"/>
                <w:sz w:val="22"/>
                <w:szCs w:val="22"/>
                <w:lang w:val="en-US" w:eastAsia="en-US"/>
              </w:rPr>
              <w:t>1</w:t>
            </w:r>
          </w:p>
        </w:tc>
        <w:tc>
          <w:tcPr>
            <w:tcBorders>
              <w:top w:val="single" w:sz="4"/>
              <w:left w:val="single" w:sz="4"/>
              <w:bottom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both"/>
              <w:rPr>
                <w:sz w:val="22"/>
                <w:szCs w:val="22"/>
              </w:rPr>
            </w:pPr>
            <w:r>
              <w:rPr>
                <w:rStyle w:val="CharStyle13"/>
                <w:b/>
                <w:bCs/>
                <w:sz w:val="22"/>
                <w:szCs w:val="22"/>
              </w:rPr>
              <w:t>Набор ангиографический</w:t>
            </w:r>
          </w:p>
        </w:tc>
        <w:tc>
          <w:tcPr>
            <w:gridSpan w:val="2"/>
            <w:tcBorders>
              <w:top w:val="single" w:sz="4"/>
              <w:left w:val="single" w:sz="4"/>
              <w:bottom w:val="single" w:sz="4"/>
              <w:right w:val="single" w:sz="4"/>
            </w:tcBorders>
            <w:shd w:val="clear" w:color="auto" w:fill="auto"/>
            <w:vAlign w:val="top"/>
          </w:tcPr>
          <w:p>
            <w:pPr>
              <w:widowControl w:val="0"/>
              <w:rPr>
                <w:sz w:val="10"/>
                <w:szCs w:val="10"/>
              </w:rPr>
            </w:pPr>
          </w:p>
        </w:tc>
      </w:tr>
    </w:tbl>
    <w:tbl>
      <w:tblPr>
        <w:tblOverlap w:val="never"/>
        <w:jc w:val="center"/>
        <w:tblLayout w:type="fixed"/>
      </w:tblPr>
      <w:tblGrid>
        <w:gridCol w:w="605"/>
        <w:gridCol w:w="4258"/>
        <w:gridCol w:w="1474"/>
        <w:gridCol w:w="3211"/>
      </w:tblGrid>
      <w:tr>
        <w:trPr>
          <w:trHeight w:val="457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sz w:val="22"/>
                <w:szCs w:val="22"/>
              </w:rPr>
              <w:t xml:space="preserve">[Код позиции КТРУ </w:t>
            </w:r>
            <w:r>
              <w:rPr>
                <w:rStyle w:val="CharStyle13"/>
                <w:sz w:val="22"/>
                <w:szCs w:val="22"/>
                <w:lang w:val="en-US" w:eastAsia="en-US"/>
              </w:rPr>
              <w:t>32.50.50.190</w:t>
              <w:softHyphen/>
              <w:t>00001378]</w:t>
            </w:r>
          </w:p>
          <w:p>
            <w:pPr>
              <w:pStyle w:val="Style12"/>
              <w:keepNext w:val="0"/>
              <w:keepLines w:val="0"/>
              <w:widowControl w:val="0"/>
              <w:shd w:val="clear" w:color="auto" w:fill="auto"/>
              <w:bidi w:val="0"/>
              <w:spacing w:before="0" w:after="0" w:line="240" w:lineRule="auto"/>
              <w:ind w:left="0" w:right="0" w:firstLine="160"/>
              <w:jc w:val="left"/>
              <w:rPr>
                <w:sz w:val="22"/>
                <w:szCs w:val="22"/>
              </w:rPr>
            </w:pPr>
            <w:r>
              <w:rPr>
                <w:rStyle w:val="CharStyle13"/>
                <w:sz w:val="22"/>
                <w:szCs w:val="22"/>
              </w:rPr>
              <w:t>Описание товара в позиции КТРУ (Описание по классификатору): ''Набор стерильных изделий и оборудования, используемый для подготовки пациента к проведению рентгеновской визуализации артерий конкретной системы органов или части тела путем введения в сосуд рентгеноконтрастного средства. Как правило, включает комбинацию изделий для введения жидкости/рентгеноконтрастных средств (например, трубки, манифольд, задвижки и шприцы); катетер для ангиографии в набор не входит. Это изделие для одноразового использования.''</w:t>
            </w:r>
          </w:p>
        </w:tc>
        <w:tc>
          <w:tcPr>
            <w:gridSpan w:val="2"/>
            <w:tcBorders>
              <w:top w:val="single" w:sz="4"/>
              <w:left w:val="single" w:sz="4"/>
              <w:right w:val="single" w:sz="4"/>
            </w:tcBorders>
            <w:shd w:val="clear" w:color="auto" w:fill="auto"/>
            <w:vAlign w:val="top"/>
          </w:tcPr>
          <w:p>
            <w:pPr>
              <w:widowControl w:val="0"/>
              <w:rPr>
                <w:sz w:val="10"/>
                <w:szCs w:val="10"/>
              </w:rPr>
            </w:pPr>
          </w:p>
        </w:tc>
      </w:tr>
      <w:tr>
        <w:trPr>
          <w:trHeight w:val="562"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24"/>
                <w:szCs w:val="24"/>
              </w:rPr>
            </w:pPr>
            <w:r>
              <w:rPr>
                <w:rStyle w:val="CharStyle13"/>
                <w:sz w:val="24"/>
                <w:szCs w:val="24"/>
                <w:lang w:val="en-US" w:eastAsia="en-US"/>
              </w:rPr>
              <w:t>1.1</w:t>
            </w:r>
          </w:p>
        </w:tc>
        <w:tc>
          <w:tcPr>
            <w:tcBorders>
              <w:top w:val="single" w:sz="4"/>
              <w:left w:val="single" w:sz="4"/>
            </w:tcBorders>
            <w:shd w:val="clear" w:color="auto" w:fill="auto"/>
            <w:vAlign w:val="bottom"/>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Назначение: для введения рентгеноконтрастных веществ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Наличие</w:t>
            </w:r>
          </w:p>
        </w:tc>
      </w:tr>
      <w:tr>
        <w:trPr>
          <w:trHeight w:val="562" w:hRule="exact"/>
        </w:trPr>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24"/>
                <w:szCs w:val="24"/>
              </w:rPr>
            </w:pPr>
            <w:r>
              <w:rPr>
                <w:rStyle w:val="CharStyle13"/>
                <w:sz w:val="24"/>
                <w:szCs w:val="24"/>
                <w:lang w:val="en-US" w:eastAsia="en-US"/>
              </w:rPr>
              <w:t>1.2</w:t>
            </w:r>
          </w:p>
        </w:tc>
        <w:tc>
          <w:tcPr>
            <w:tcBorders>
              <w:top w:val="single" w:sz="4"/>
              <w:lef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Состав: шприц, игла(шип)</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Наличие</w:t>
            </w:r>
          </w:p>
        </w:tc>
      </w:tr>
      <w:tr>
        <w:trPr>
          <w:trHeight w:val="854" w:hRule="exact"/>
        </w:trPr>
        <w:tc>
          <w:tcPr>
            <w:tcBorders>
              <w:top w:val="single" w:sz="4"/>
              <w:left w:val="single" w:sz="4"/>
              <w:bottom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140"/>
              <w:jc w:val="left"/>
              <w:rPr>
                <w:sz w:val="24"/>
                <w:szCs w:val="24"/>
              </w:rPr>
            </w:pPr>
            <w:r>
              <w:rPr>
                <w:rStyle w:val="CharStyle13"/>
                <w:sz w:val="24"/>
                <w:szCs w:val="24"/>
                <w:lang w:val="en-US" w:eastAsia="en-US"/>
              </w:rPr>
              <w:t>1.3</w:t>
            </w:r>
          </w:p>
        </w:tc>
        <w:tc>
          <w:tcPr>
            <w:tcBorders>
              <w:top w:val="single" w:sz="4"/>
              <w:left w:val="single" w:sz="4"/>
              <w:bottom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Объём шприца</w:t>
            </w:r>
          </w:p>
        </w:tc>
        <w:tc>
          <w:tcPr>
            <w:tcBorders>
              <w:top w:val="single" w:sz="4"/>
              <w:left w:val="single" w:sz="4"/>
              <w:bottom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lang w:val="en-US" w:eastAsia="en-US"/>
              </w:rPr>
              <w:t>СМ3;^МЛ</w:t>
            </w:r>
          </w:p>
        </w:tc>
        <w:tc>
          <w:tcPr>
            <w:tcBorders>
              <w:top w:val="single" w:sz="4"/>
              <w:left w:val="single" w:sz="4"/>
              <w:bottom w:val="single" w:sz="4"/>
              <w:right w:val="single" w:sz="4"/>
            </w:tcBorders>
            <w:shd w:val="clear" w:color="auto" w:fill="auto"/>
            <w:vAlign w:val="top"/>
          </w:tcPr>
          <w:p>
            <w:pPr>
              <w:pStyle w:val="Style12"/>
              <w:keepNext w:val="0"/>
              <w:keepLines w:val="0"/>
              <w:widowControl w:val="0"/>
              <w:shd w:val="clear" w:color="auto" w:fill="auto"/>
              <w:bidi w:val="0"/>
              <w:spacing w:before="0" w:after="0" w:line="240" w:lineRule="auto"/>
              <w:ind w:left="0" w:right="0" w:firstLine="0"/>
              <w:jc w:val="left"/>
              <w:rPr>
                <w:sz w:val="24"/>
                <w:szCs w:val="24"/>
              </w:rPr>
            </w:pPr>
            <w:r>
              <w:rPr>
                <w:rStyle w:val="CharStyle13"/>
                <w:sz w:val="24"/>
                <w:szCs w:val="24"/>
              </w:rPr>
              <w:t xml:space="preserve">Больше или равно </w:t>
            </w:r>
            <w:r>
              <w:rPr>
                <w:rStyle w:val="CharStyle13"/>
                <w:sz w:val="24"/>
                <w:szCs w:val="24"/>
                <w:lang w:val="en-US" w:eastAsia="en-US"/>
              </w:rPr>
              <w:t>190.00000000000</w:t>
            </w:r>
          </w:p>
        </w:tc>
      </w:tr>
    </w:tbl>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Также согласно приложению к технической части заказчиком определено следующее: товар приобретается к системе инъекционной </w:t>
      </w:r>
      <w:r>
        <w:rPr>
          <w:rStyle w:val="CharStyle3"/>
          <w:lang w:val="en-US" w:eastAsia="en-US"/>
        </w:rPr>
        <w:t xml:space="preserve">MEDRAD Salient D, </w:t>
      </w:r>
      <w:r>
        <w:rPr>
          <w:rStyle w:val="CharStyle3"/>
        </w:rPr>
        <w:t xml:space="preserve">модели </w:t>
      </w:r>
      <w:r>
        <w:rPr>
          <w:rStyle w:val="CharStyle3"/>
          <w:lang w:val="en-US" w:eastAsia="en-US"/>
        </w:rPr>
        <w:t xml:space="preserve">DC009DW, </w:t>
      </w:r>
      <w:r>
        <w:rPr>
          <w:rStyle w:val="CharStyle3"/>
        </w:rPr>
        <w:t xml:space="preserve">год выпуска </w:t>
      </w:r>
      <w:r>
        <w:rPr>
          <w:rStyle w:val="CharStyle3"/>
          <w:lang w:val="en-US" w:eastAsia="en-US"/>
        </w:rPr>
        <w:t xml:space="preserve">2024, </w:t>
      </w:r>
      <w:r>
        <w:rPr>
          <w:rStyle w:val="CharStyle3"/>
        </w:rPr>
        <w:t xml:space="preserve">серийный номер </w:t>
      </w:r>
      <w:r>
        <w:rPr>
          <w:rStyle w:val="CharStyle3"/>
          <w:lang w:val="en-US" w:eastAsia="en-US"/>
        </w:rPr>
        <w:t xml:space="preserve">300277, </w:t>
      </w:r>
      <w:r>
        <w:rPr>
          <w:rStyle w:val="CharStyle3"/>
        </w:rPr>
        <w:t xml:space="preserve">производитель ИМАКСЕОН ПИ ТИ УАЙ ЛТД, Австрия, регистрационное удостоверение ФСЗ </w:t>
      </w:r>
      <w:r>
        <w:rPr>
          <w:rStyle w:val="CharStyle3"/>
          <w:lang w:val="en-US" w:eastAsia="en-US"/>
        </w:rPr>
        <w:t xml:space="preserve">№ 2012/12881, </w:t>
      </w:r>
      <w:r>
        <w:rPr>
          <w:rStyle w:val="CharStyle3"/>
        </w:rPr>
        <w:t>имеющейся и используемой Заказчиком, находящейся на гарантийном обслуживании у производителя, и должен быть совместим с ней.</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В соответствии с протоколом подведения итогов определения поставщика (подрядчика, исполнителя) от </w:t>
      </w:r>
      <w:r>
        <w:rPr>
          <w:rStyle w:val="CharStyle3"/>
          <w:lang w:val="en-US" w:eastAsia="en-US"/>
        </w:rPr>
        <w:t xml:space="preserve">20.10.2025 </w:t>
      </w:r>
      <w:r>
        <w:rPr>
          <w:rStyle w:val="CharStyle3"/>
        </w:rPr>
        <w:t xml:space="preserve">№ИЗК1 на участие в данном запросе котировок поданы </w:t>
      </w:r>
      <w:r>
        <w:rPr>
          <w:rStyle w:val="CharStyle3"/>
          <w:lang w:val="en-US" w:eastAsia="en-US"/>
        </w:rPr>
        <w:t xml:space="preserve">4 </w:t>
      </w:r>
      <w:r>
        <w:rPr>
          <w:rStyle w:val="CharStyle3"/>
        </w:rPr>
        <w:t>заявки.</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Закупочной комиссией принято решение о соответствии трех заявок требованиям, установленных извещением и Закона о контрактной системе, заявка </w:t>
      </w:r>
      <w:r>
        <w:rPr>
          <w:rStyle w:val="CharStyle3"/>
          <w:lang w:val="en-US" w:eastAsia="en-US"/>
        </w:rPr>
        <w:t xml:space="preserve">№ 21 </w:t>
      </w:r>
      <w:r>
        <w:rPr>
          <w:rStyle w:val="CharStyle3"/>
        </w:rPr>
        <w:t xml:space="preserve">отклонена по основанию: «Недостоверность информации, содержащейся в заявке на участие в закупке согласно п. </w:t>
      </w:r>
      <w:r>
        <w:rPr>
          <w:rStyle w:val="CharStyle3"/>
          <w:lang w:val="en-US" w:eastAsia="en-US"/>
        </w:rPr>
        <w:t xml:space="preserve">8 </w:t>
      </w:r>
      <w:r>
        <w:rPr>
          <w:rStyle w:val="CharStyle3"/>
        </w:rPr>
        <w:t xml:space="preserve">ч. </w:t>
      </w:r>
      <w:r>
        <w:rPr>
          <w:rStyle w:val="CharStyle3"/>
          <w:lang w:val="en-US" w:eastAsia="en-US"/>
        </w:rPr>
        <w:t xml:space="preserve">12 </w:t>
      </w:r>
      <w:r>
        <w:rPr>
          <w:rStyle w:val="CharStyle3"/>
        </w:rPr>
        <w:t xml:space="preserve">ст </w:t>
      </w:r>
      <w:r>
        <w:rPr>
          <w:rStyle w:val="CharStyle3"/>
          <w:lang w:val="en-US" w:eastAsia="en-US"/>
        </w:rPr>
        <w:t xml:space="preserve">48 </w:t>
      </w:r>
      <w:r>
        <w:rPr>
          <w:rStyle w:val="CharStyle3"/>
        </w:rPr>
        <w:t xml:space="preserve">Закона </w:t>
      </w:r>
      <w:r>
        <w:rPr>
          <w:rStyle w:val="CharStyle3"/>
          <w:lang w:val="en-US" w:eastAsia="en-US"/>
        </w:rPr>
        <w:t xml:space="preserve">№ </w:t>
      </w:r>
      <w:r>
        <w:rPr>
          <w:rStyle w:val="CharStyle3"/>
        </w:rPr>
        <w:t>44-ФЗ».</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По результатам подведения итогов определения поставщика (подрядчика, исполнителя) победителем электронного запроса котировок признан участник закупки идентификационный </w:t>
      </w:r>
      <w:r>
        <w:rPr>
          <w:rStyle w:val="CharStyle3"/>
          <w:lang w:val="en-US" w:eastAsia="en-US"/>
        </w:rPr>
        <w:t>№ 22.</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Как следует из заявки </w:t>
      </w:r>
      <w:r>
        <w:rPr>
          <w:rStyle w:val="CharStyle3"/>
          <w:lang w:val="en-US" w:eastAsia="en-US"/>
        </w:rPr>
        <w:t xml:space="preserve">№ 22 </w:t>
      </w:r>
      <w:r>
        <w:rPr>
          <w:rStyle w:val="CharStyle3"/>
        </w:rPr>
        <w:t xml:space="preserve">участником представлены сформированные с использованием электронной площадки характеристики предлагаемого товара, заполненные в соответствии с содержащейся в извещении инструкцией по заполнению характеристик в заявке: Наименование медицинского изделия в соответствии с регистрационным удостоверением </w:t>
      </w:r>
      <w:r>
        <w:rPr>
          <w:rStyle w:val="CharStyle3"/>
          <w:lang w:val="en-US" w:eastAsia="en-US"/>
        </w:rPr>
        <w:t xml:space="preserve">- </w:t>
      </w:r>
      <w:r>
        <w:rPr>
          <w:rStyle w:val="CharStyle3"/>
        </w:rPr>
        <w:t xml:space="preserve">Шприцы и соединительные линии для инжекторов автоматических для ангиографии, компьютерной и магниторезонансной томографии, модель </w:t>
      </w:r>
      <w:r>
        <w:rPr>
          <w:rStyle w:val="CharStyle3"/>
          <w:lang w:val="en-US" w:eastAsia="en-US"/>
        </w:rPr>
        <w:t xml:space="preserve">100200F, </w:t>
      </w:r>
      <w:r>
        <w:rPr>
          <w:rStyle w:val="CharStyle3"/>
        </w:rPr>
        <w:t>в составе:</w:t>
      </w:r>
    </w:p>
    <w:p>
      <w:pPr>
        <w:pStyle w:val="Style2"/>
        <w:keepNext w:val="0"/>
        <w:keepLines w:val="0"/>
        <w:widowControl w:val="0"/>
        <w:shd w:val="clear" w:color="auto" w:fill="auto"/>
        <w:bidi w:val="0"/>
        <w:spacing w:before="0" w:after="0" w:line="240" w:lineRule="auto"/>
        <w:ind w:left="0" w:right="0" w:firstLine="0"/>
        <w:jc w:val="both"/>
      </w:pPr>
      <w:r>
        <w:rPr>
          <w:rStyle w:val="CharStyle3"/>
          <w:lang w:val="en-US" w:eastAsia="en-US"/>
        </w:rPr>
        <w:t xml:space="preserve">- </w:t>
      </w:r>
      <w:r>
        <w:rPr>
          <w:rStyle w:val="CharStyle3"/>
        </w:rPr>
        <w:t xml:space="preserve">Шприц </w:t>
      </w:r>
      <w:r>
        <w:rPr>
          <w:rStyle w:val="CharStyle3"/>
          <w:lang w:val="en-US" w:eastAsia="en-US"/>
        </w:rPr>
        <w:t xml:space="preserve">190 </w:t>
      </w:r>
      <w:r>
        <w:rPr>
          <w:rStyle w:val="CharStyle3"/>
        </w:rPr>
        <w:t xml:space="preserve">мл; </w:t>
      </w:r>
      <w:r>
        <w:rPr>
          <w:rStyle w:val="CharStyle3"/>
          <w:lang w:val="en-US" w:eastAsia="en-US"/>
        </w:rPr>
        <w:t xml:space="preserve">- CT Line Type CL; - CT Line J-type; - CT Line Type (Spike). </w:t>
      </w:r>
      <w:r>
        <w:rPr>
          <w:rStyle w:val="CharStyle3"/>
        </w:rPr>
        <w:t>соответствующие показателям, установленным в описании объекта закупки в сформированном с использованием ЕИС извещении.</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Кроме того, в составе заявки </w:t>
      </w:r>
      <w:r>
        <w:rPr>
          <w:rStyle w:val="CharStyle3"/>
          <w:lang w:val="en-US" w:eastAsia="en-US"/>
        </w:rPr>
        <w:t xml:space="preserve">№ 22 </w:t>
      </w:r>
      <w:r>
        <w:rPr>
          <w:rStyle w:val="CharStyle3"/>
        </w:rPr>
        <w:t xml:space="preserve">представлено регистрационное удостоверение </w:t>
      </w:r>
      <w:r>
        <w:rPr>
          <w:rStyle w:val="CharStyle3"/>
          <w:lang w:val="en-US" w:eastAsia="en-US"/>
        </w:rPr>
        <w:t xml:space="preserve">№ </w:t>
      </w:r>
      <w:r>
        <w:rPr>
          <w:rStyle w:val="CharStyle3"/>
        </w:rPr>
        <w:t xml:space="preserve">ФСЗ </w:t>
      </w:r>
      <w:r>
        <w:rPr>
          <w:rStyle w:val="CharStyle3"/>
          <w:lang w:val="en-US" w:eastAsia="en-US"/>
        </w:rPr>
        <w:t xml:space="preserve">2009/03698 </w:t>
      </w:r>
      <w:r>
        <w:rPr>
          <w:rStyle w:val="CharStyle3"/>
        </w:rPr>
        <w:t xml:space="preserve">от </w:t>
      </w:r>
      <w:r>
        <w:rPr>
          <w:rStyle w:val="CharStyle3"/>
          <w:lang w:val="en-US" w:eastAsia="en-US"/>
        </w:rPr>
        <w:t xml:space="preserve">31.03.2023, </w:t>
      </w:r>
      <w:r>
        <w:rPr>
          <w:rStyle w:val="CharStyle3"/>
        </w:rPr>
        <w:t xml:space="preserve">в п. </w:t>
      </w:r>
      <w:r>
        <w:rPr>
          <w:rStyle w:val="CharStyle3"/>
          <w:lang w:val="en-US" w:eastAsia="en-US"/>
        </w:rPr>
        <w:t xml:space="preserve">9 </w:t>
      </w:r>
      <w:r>
        <w:rPr>
          <w:rStyle w:val="CharStyle3"/>
        </w:rPr>
        <w:t xml:space="preserve">указан предложенный к поставке товар: шприцы и соединительные линии для инжекторов автоматических для ангиографии, компьютерной и магниторезонансной томографии, модель </w:t>
      </w:r>
      <w:r>
        <w:rPr>
          <w:rStyle w:val="CharStyle3"/>
          <w:lang w:val="en-US" w:eastAsia="en-US"/>
        </w:rPr>
        <w:t xml:space="preserve">100200F, </w:t>
      </w:r>
      <w:r>
        <w:rPr>
          <w:rStyle w:val="CharStyle3"/>
        </w:rPr>
        <w:t xml:space="preserve">в составе: </w:t>
      </w:r>
      <w:r>
        <w:rPr>
          <w:rStyle w:val="CharStyle3"/>
          <w:lang w:val="en-US" w:eastAsia="en-US"/>
        </w:rPr>
        <w:t xml:space="preserve">- </w:t>
      </w:r>
      <w:r>
        <w:rPr>
          <w:rStyle w:val="CharStyle3"/>
        </w:rPr>
        <w:t xml:space="preserve">шприц </w:t>
      </w:r>
      <w:r>
        <w:rPr>
          <w:rStyle w:val="CharStyle3"/>
          <w:lang w:val="en-US" w:eastAsia="en-US"/>
        </w:rPr>
        <w:t xml:space="preserve">190 </w:t>
      </w:r>
      <w:r>
        <w:rPr>
          <w:rStyle w:val="CharStyle3"/>
        </w:rPr>
        <w:t xml:space="preserve">мл; </w:t>
      </w:r>
      <w:r>
        <w:rPr>
          <w:rStyle w:val="CharStyle3"/>
          <w:lang w:val="en-US" w:eastAsia="en-US"/>
        </w:rPr>
        <w:t>- CT Line Type CL; - CT Line J-Type; - CT Line Type (Spike).</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В Реестре медицинских изделий в отношении регистрационного удостоверения </w:t>
      </w:r>
      <w:r>
        <w:rPr>
          <w:rStyle w:val="CharStyle3"/>
          <w:lang w:val="en-US" w:eastAsia="en-US"/>
        </w:rPr>
        <w:t xml:space="preserve">№ </w:t>
      </w:r>
      <w:r>
        <w:rPr>
          <w:rStyle w:val="CharStyle3"/>
        </w:rPr>
        <w:t xml:space="preserve">ФСЗ </w:t>
      </w:r>
      <w:r>
        <w:rPr>
          <w:rStyle w:val="CharStyle3"/>
          <w:lang w:val="en-US" w:eastAsia="en-US"/>
        </w:rPr>
        <w:t xml:space="preserve">2009/03698 </w:t>
      </w:r>
      <w:r>
        <w:rPr>
          <w:rStyle w:val="CharStyle3"/>
        </w:rPr>
        <w:t xml:space="preserve">от </w:t>
      </w:r>
      <w:r>
        <w:rPr>
          <w:rStyle w:val="CharStyle3"/>
          <w:lang w:val="en-US" w:eastAsia="en-US"/>
        </w:rPr>
        <w:t xml:space="preserve">31.03.2023 </w:t>
      </w:r>
      <w:r>
        <w:rPr>
          <w:rStyle w:val="CharStyle3"/>
        </w:rPr>
        <w:t xml:space="preserve">имеется реестровая запись </w:t>
      </w:r>
      <w:r>
        <w:rPr>
          <w:rStyle w:val="CharStyle3"/>
          <w:lang w:val="en-US" w:eastAsia="en-US"/>
        </w:rPr>
        <w:t>70507.</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Реестровая запись </w:t>
      </w:r>
      <w:r>
        <w:rPr>
          <w:rStyle w:val="CharStyle3"/>
          <w:lang w:val="en-US" w:eastAsia="en-US"/>
        </w:rPr>
        <w:t xml:space="preserve">70507 </w:t>
      </w:r>
      <w:r>
        <w:rPr>
          <w:rStyle w:val="CharStyle3"/>
        </w:rPr>
        <w:t>содержит Инструкцию по применению на медицинское изделие «Шприцы и соединительные линии для инжекторов автоматических для ангиографии, компьютерной и магнитнорезонансной томографии».</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Как установлено Комиссией Хабаровского УФАС России, на стр. </w:t>
      </w:r>
      <w:r>
        <w:rPr>
          <w:rStyle w:val="CharStyle3"/>
          <w:lang w:val="en-US" w:eastAsia="en-US"/>
        </w:rPr>
        <w:t xml:space="preserve">14-15 </w:t>
      </w:r>
      <w:r>
        <w:rPr>
          <w:rStyle w:val="CharStyle3"/>
        </w:rPr>
        <w:t xml:space="preserve">указанной инструкции содержится таблица совместимости с устройствами внутривенного введения, то есть содержатся сведения о назначении предложенной к поставке модели </w:t>
      </w:r>
      <w:r>
        <w:rPr>
          <w:rStyle w:val="CharStyle3"/>
          <w:lang w:val="en-US" w:eastAsia="en-US"/>
        </w:rPr>
        <w:t xml:space="preserve">100200F </w:t>
      </w:r>
      <w:r>
        <w:rPr>
          <w:rStyle w:val="CharStyle3"/>
        </w:rPr>
        <w:t xml:space="preserve">«для системы инъекционной </w:t>
      </w:r>
      <w:r>
        <w:rPr>
          <w:rStyle w:val="CharStyle3"/>
          <w:lang w:val="en-US" w:eastAsia="en-US"/>
        </w:rPr>
        <w:t>Medrad Salient».</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Таким образом, сведения регистрационного досье (Инструкция) подтверждают как совместимость, так и разрешение к использованию данного медицинского изделия с системой инъекционной </w:t>
      </w:r>
      <w:r>
        <w:rPr>
          <w:rStyle w:val="CharStyle3"/>
          <w:lang w:val="en-US" w:eastAsia="en-US"/>
        </w:rPr>
        <w:t xml:space="preserve">Medrad Salient, </w:t>
      </w:r>
      <w:r>
        <w:rPr>
          <w:rStyle w:val="CharStyle3"/>
        </w:rPr>
        <w:t>имеющейся и используемой Заказчиком.</w:t>
      </w:r>
    </w:p>
    <w:p>
      <w:pPr>
        <w:pStyle w:val="Style2"/>
        <w:keepNext w:val="0"/>
        <w:keepLines w:val="0"/>
        <w:widowControl w:val="0"/>
        <w:shd w:val="clear" w:color="auto" w:fill="auto"/>
        <w:bidi w:val="0"/>
        <w:spacing w:before="0" w:after="0" w:line="240" w:lineRule="auto"/>
        <w:ind w:left="0" w:right="0" w:firstLine="560"/>
        <w:jc w:val="both"/>
      </w:pPr>
      <w:r>
        <w:rPr>
          <w:rStyle w:val="CharStyle3"/>
        </w:rPr>
        <w:t xml:space="preserve">На основании вышеизложенного, Комиссия Хабаровского УФАС России приходит к выводу об отсутствии оснований для отклонения закупочной комиссией заявки </w:t>
      </w:r>
      <w:r>
        <w:rPr>
          <w:rStyle w:val="CharStyle3"/>
          <w:lang w:val="en-US" w:eastAsia="en-US"/>
        </w:rPr>
        <w:t>№ 22.</w:t>
      </w:r>
    </w:p>
    <w:p>
      <w:pPr>
        <w:pStyle w:val="Style2"/>
        <w:keepNext w:val="0"/>
        <w:keepLines w:val="0"/>
        <w:widowControl w:val="0"/>
        <w:shd w:val="clear" w:color="auto" w:fill="auto"/>
        <w:bidi w:val="0"/>
        <w:spacing w:before="0" w:after="0" w:line="240" w:lineRule="auto"/>
        <w:ind w:left="0" w:right="0" w:firstLine="560"/>
        <w:jc w:val="both"/>
      </w:pPr>
      <w:r>
        <w:rPr>
          <w:rStyle w:val="CharStyle3"/>
        </w:rPr>
        <w:t>В данной связи Комиссия Хабаровского УФАС России приходит к выводу о признании жалобы необоснованной.</w:t>
      </w:r>
    </w:p>
    <w:p>
      <w:pPr>
        <w:pStyle w:val="Style2"/>
        <w:keepNext w:val="0"/>
        <w:keepLines w:val="0"/>
        <w:widowControl w:val="0"/>
        <w:shd w:val="clear" w:color="auto" w:fill="auto"/>
        <w:bidi w:val="0"/>
        <w:spacing w:before="0" w:after="320" w:line="240" w:lineRule="auto"/>
        <w:ind w:left="0" w:right="0" w:firstLine="560"/>
        <w:jc w:val="both"/>
      </w:pPr>
      <w:r>
        <w:rPr>
          <w:rStyle w:val="CharStyle3"/>
        </w:rPr>
        <w:t>На основании изложенного, руководствуясь</w:t>
      </w:r>
      <w:r>
        <w:rPr>
          <w:rStyle w:val="CharStyle3"/>
        </w:rPr>
        <w:t xml:space="preserve"> частями </w:t>
      </w:r>
      <w:r>
        <w:rPr>
          <w:rStyle w:val="CharStyle3"/>
          <w:lang w:val="en-US" w:eastAsia="en-US"/>
        </w:rPr>
        <w:t xml:space="preserve">8 </w:t>
      </w:r>
      <w:r>
        <w:rPr>
          <w:rStyle w:val="CharStyle3"/>
        </w:rPr>
        <w:t xml:space="preserve">статьи </w:t>
      </w:r>
      <w:r>
        <w:rPr>
          <w:rStyle w:val="CharStyle3"/>
          <w:lang w:val="en-US" w:eastAsia="en-US"/>
        </w:rPr>
        <w:t>106,</w:t>
      </w:r>
      <w:r>
        <w:rPr>
          <w:rStyle w:val="CharStyle3"/>
          <w:lang w:val="en-US" w:eastAsia="en-US"/>
        </w:rPr>
        <w:t xml:space="preserve"> </w:t>
      </w:r>
      <w:r>
        <w:rPr>
          <w:rStyle w:val="CharStyle3"/>
        </w:rPr>
        <w:t xml:space="preserve">пунктом </w:t>
      </w:r>
      <w:r>
        <w:rPr>
          <w:rStyle w:val="CharStyle3"/>
          <w:lang w:val="en-US" w:eastAsia="en-US"/>
        </w:rPr>
        <w:t xml:space="preserve">3 </w:t>
      </w:r>
      <w:r>
        <w:rPr>
          <w:rStyle w:val="CharStyle3"/>
        </w:rPr>
        <w:t xml:space="preserve">частью </w:t>
      </w:r>
      <w:r>
        <w:rPr>
          <w:rStyle w:val="CharStyle3"/>
          <w:lang w:val="en-US" w:eastAsia="en-US"/>
        </w:rPr>
        <w:t xml:space="preserve">15 </w:t>
      </w:r>
      <w:r>
        <w:rPr>
          <w:rStyle w:val="CharStyle3"/>
        </w:rPr>
        <w:t xml:space="preserve">статьи </w:t>
      </w:r>
      <w:r>
        <w:rPr>
          <w:rStyle w:val="CharStyle3"/>
          <w:lang w:val="en-US" w:eastAsia="en-US"/>
        </w:rPr>
        <w:t xml:space="preserve">99 </w:t>
      </w:r>
      <w:r>
        <w:rPr>
          <w:rStyle w:val="CharStyle3"/>
        </w:rPr>
        <w:t>Закона о контрактной системе в сфере закупок, Комиссия Хабаровского УФАС России,</w:t>
      </w:r>
    </w:p>
    <w:p>
      <w:pPr>
        <w:pStyle w:val="Style2"/>
        <w:keepNext w:val="0"/>
        <w:keepLines w:val="0"/>
        <w:widowControl w:val="0"/>
        <w:shd w:val="clear" w:color="auto" w:fill="auto"/>
        <w:bidi w:val="0"/>
        <w:spacing w:before="0" w:after="320" w:line="240" w:lineRule="auto"/>
        <w:ind w:left="0" w:right="0" w:firstLine="0"/>
        <w:jc w:val="center"/>
      </w:pPr>
      <w:r>
        <w:rPr>
          <w:rStyle w:val="CharStyle3"/>
          <w:b/>
          <w:bCs/>
        </w:rPr>
        <w:t>РЕШИЛА: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Признать жалобу ООО «Дальоптторг» на действия заказчика </w:t>
      </w:r>
      <w:r>
        <w:rPr>
          <w:rStyle w:val="CharStyle3"/>
          <w:lang w:val="en-US" w:eastAsia="en-US"/>
        </w:rPr>
        <w:t xml:space="preserve">– </w:t>
      </w:r>
      <w:r>
        <w:rPr>
          <w:rStyle w:val="CharStyle3"/>
        </w:rPr>
        <w:t xml:space="preserve">КГБУЗ «Детская краевая клиническая больница» им. А.К. Пиотровича Министерства здравоохранения Хабаровского края, уполномоченного органа </w:t>
      </w:r>
      <w:r>
        <w:rPr>
          <w:rStyle w:val="CharStyle3"/>
          <w:lang w:val="en-US" w:eastAsia="en-US"/>
        </w:rPr>
        <w:t xml:space="preserve">- </w:t>
      </w:r>
      <w:r>
        <w:rPr>
          <w:rStyle w:val="CharStyle3"/>
        </w:rPr>
        <w:t xml:space="preserve">Комитета государственного заказа Правительства Хабаровского края при осуществлении закупки путем проведения запроса котировок в электронной форме на поставку набора ангиографического (извещение </w:t>
      </w:r>
      <w:r>
        <w:rPr>
          <w:rStyle w:val="CharStyle3"/>
          <w:lang w:val="en-US" w:eastAsia="en-US"/>
        </w:rPr>
        <w:t xml:space="preserve">№ 0122200002525003794) </w:t>
      </w:r>
      <w:r>
        <w:rPr>
          <w:rStyle w:val="CharStyle3"/>
        </w:rPr>
        <w:t>не</w:t>
      </w:r>
      <w:r>
        <w:rPr>
          <w:rStyle w:val="CharStyle3"/>
          <w:b/>
          <w:bCs/>
        </w:rPr>
        <w:t>обоснованной;</w:t>
      </w:r>
    </w:p>
    <w:p>
      <w:pPr>
        <w:pStyle w:val="Style2"/>
        <w:keepNext w:val="0"/>
        <w:keepLines w:val="0"/>
        <w:widowControl w:val="0"/>
        <w:shd w:val="clear" w:color="auto" w:fill="auto"/>
        <w:bidi w:val="0"/>
        <w:spacing w:before="0" w:after="320" w:line="240" w:lineRule="auto"/>
        <w:ind w:left="0" w:right="0" w:firstLine="720"/>
        <w:jc w:val="both"/>
      </w:pPr>
      <w:r>
        <w:rPr>
          <w:rStyle w:val="CharStyle3"/>
        </w:rPr>
        <w:t>Настоящее решение может быть обжаловано в Арбитражный суд Хабаровского края в течение трех месяцев со дня его оглашения.</w:t>
      </w:r>
    </w:p>
    <w:sectPr>
      <w:footerReference w:type="default" r:id="rId5"/>
      <w:footerReference w:type="first" r:id="rId6"/>
      <w:footnotePr>
        <w:pos w:val="pageBottom"/>
        <w:numFmt w:val="decimal"/>
        <w:numRestart w:val="continuous"/>
      </w:footnotePr>
      <w:pgSz w:w="11900" w:h="16840"/>
      <w:pgMar w:top="1107" w:right="659" w:bottom="1017" w:left="1632"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7026910</wp:posOffset>
              </wp:positionH>
              <wp:positionV relativeFrom="page">
                <wp:posOffset>10110470</wp:posOffset>
              </wp:positionV>
              <wp:extent cx="67310" cy="103505"/>
              <wp:wrapNone/>
              <wp:docPr id="1" name="Shape 1"/>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53.30000000000007pt;margin-top:796.10000000000002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2)_"/>
    <w:basedOn w:val="DefaultParagraphFont"/>
    <w:link w:val="Style4"/>
    <w:rPr>
      <w:rFonts w:ascii="Times New Roman" w:eastAsia="Times New Roman" w:hAnsi="Times New Roman" w:cs="Times New Roman"/>
      <w:b w:val="0"/>
      <w:bCs w:val="0"/>
      <w:i w:val="0"/>
      <w:iCs w:val="0"/>
      <w:smallCaps w:val="0"/>
      <w:strike w:val="0"/>
      <w:u w:val="none"/>
      <w:lang w:val="en-US" w:eastAsia="en-US"/>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1">
    <w:name w:val="Table caption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Other_"/>
    <w:basedOn w:val="DefaultParagraphFont"/>
    <w:link w:val="Style12"/>
    <w:rPr>
      <w:rFonts w:ascii="Times New Roman" w:eastAsia="Times New Roman" w:hAnsi="Times New Roman" w:cs="Times New Roman"/>
      <w:b w:val="0"/>
      <w:bCs w:val="0"/>
      <w:i w:val="0"/>
      <w:iCs w:val="0"/>
      <w:smallCaps w:val="0"/>
      <w:strike w:val="0"/>
      <w:sz w:val="28"/>
      <w:szCs w:val="28"/>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2)"/>
    <w:basedOn w:val="Normal"/>
    <w:link w:val="CharStyle5"/>
    <w:pPr>
      <w:widowControl w:val="0"/>
      <w:shd w:val="clear" w:color="auto" w:fill="auto"/>
      <w:spacing w:after="40"/>
      <w:ind w:left="5160"/>
    </w:pPr>
    <w:rPr>
      <w:rFonts w:ascii="Times New Roman" w:eastAsia="Times New Roman" w:hAnsi="Times New Roman" w:cs="Times New Roman"/>
      <w:b w:val="0"/>
      <w:bCs w:val="0"/>
      <w:i w:val="0"/>
      <w:iCs w:val="0"/>
      <w:smallCaps w:val="0"/>
      <w:strike w:val="0"/>
      <w:u w:val="none"/>
      <w:lang w:val="en-US" w:eastAsia="en-US"/>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0">
    <w:name w:val="Table caption"/>
    <w:basedOn w:val="Normal"/>
    <w:link w:val="CharStyle11"/>
    <w:pPr>
      <w:widowControl w:val="0"/>
      <w:shd w:val="clear" w:color="auto" w:fill="auto"/>
      <w:ind w:firstLine="56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Other"/>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Главе  администрации Высокогорненского городского поселения Ванинского муниципального района Хабаровского края</dc:title>
  <dc:subject/>
  <dc:creator>421-lavr</dc:creator>
  <cp:keywords/>
</cp:coreProperties>
</file>