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72210" distR="110744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728980</wp:posOffset>
                </wp:positionV>
                <wp:extent cx="2584450" cy="263334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2633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Хабаровскому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sz w:val="16"/>
                                <w:szCs w:val="16"/>
                              </w:rPr>
                              <w:t>680000, г. Хабаровск, ул. Запарина, 67</w:t>
                              <w:br/>
                              <w:t>тел./факс (4212) 32-40-57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307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sz w:val="16"/>
                                <w:szCs w:val="16"/>
                                <w:lang w:val="en-US" w:eastAsia="en-US"/>
                              </w:rPr>
                              <w:t>to27@fas.gov.ru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1.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  <w:u w:val="single"/>
                              </w:rPr>
                              <w:t>10.2025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 xml:space="preserve">№ 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  <w:u w:val="single"/>
                              </w:rPr>
                              <w:t>12514/25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7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3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О направлении решения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pt;margin-top:57.399999999999999pt;width:203.5pt;height:207.34999999999999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Хабаровскому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sz w:val="16"/>
                          <w:szCs w:val="16"/>
                        </w:rPr>
                        <w:t>680000, г. Хабаровск, ул. Запарина, 67</w:t>
                        <w:br/>
                        <w:t>тел./факс (4212) 32-40-57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307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sz w:val="16"/>
                          <w:szCs w:val="16"/>
                          <w:lang w:val="en-US" w:eastAsia="en-US"/>
                        </w:rPr>
                        <w:t>to27@fas.gov.ru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6"/>
                          <w:sz w:val="30"/>
                          <w:szCs w:val="30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>1.</w:t>
                      </w:r>
                      <w:r>
                        <w:rPr>
                          <w:rStyle w:val="CharStyle6"/>
                          <w:sz w:val="30"/>
                          <w:szCs w:val="30"/>
                          <w:u w:val="single"/>
                        </w:rPr>
                        <w:t>10.2025</w:t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 xml:space="preserve">№ </w:t>
                      </w:r>
                      <w:r>
                        <w:rPr>
                          <w:rStyle w:val="CharStyle6"/>
                          <w:sz w:val="30"/>
                          <w:szCs w:val="30"/>
                          <w:u w:val="single"/>
                        </w:rPr>
                        <w:t>12514/25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7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3"/>
                          <w:sz w:val="18"/>
                          <w:szCs w:val="18"/>
                        </w:rPr>
                        <w:t xml:space="preserve">На №  от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1"/>
                          <w:sz w:val="24"/>
                          <w:szCs w:val="24"/>
                        </w:rPr>
                        <w:t>О направлении решения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rStyle w:val="CharStyle6"/>
        </w:rPr>
        <w:t xml:space="preserve">Комитет государственного заказа Правительства Хабаровского края </w:t>
      </w:r>
      <w:r>
        <w:fldChar w:fldCharType="begin"/>
      </w:r>
      <w:r>
        <w:rPr/>
        <w:instrText> HYPERLINK "mailto:gz@khv.gov.ru" </w:instrText>
      </w:r>
      <w:r>
        <w:fldChar w:fldCharType="separate"/>
      </w:r>
      <w:r>
        <w:rPr>
          <w:rStyle w:val="CharStyle6"/>
          <w:lang w:val="en-US" w:eastAsia="en-US"/>
        </w:rPr>
        <w:t>gz@khv.gov.ru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rStyle w:val="CharStyle6"/>
        </w:rPr>
        <w:t>КГКУЗ "Медицинский информационно</w:t>
        <w:softHyphen/>
        <w:t xml:space="preserve">аналитический центр" </w:t>
      </w:r>
      <w:r>
        <w:fldChar w:fldCharType="begin"/>
      </w:r>
      <w:r>
        <w:rPr/>
        <w:instrText> HYPERLINK "mailto:mail-info@miac.medkhv.ru" </w:instrText>
      </w:r>
      <w:r>
        <w:fldChar w:fldCharType="separate"/>
      </w:r>
      <w:r>
        <w:rPr>
          <w:rStyle w:val="CharStyle6"/>
          <w:lang w:val="en-US" w:eastAsia="en-US"/>
        </w:rPr>
        <w:t>mail-info@miac.medkhv.ru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6"/>
        </w:rPr>
        <w:t>ООО «КАРДЕЯ»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1040" w:right="0" w:firstLine="0"/>
        <w:jc w:val="both"/>
      </w:pPr>
      <w:r>
        <w:fldChar w:fldCharType="begin"/>
      </w:r>
      <w:r>
        <w:rPr/>
        <w:instrText> HYPERLINK "mailto:kardeya.auctions@mail.ru" </w:instrText>
      </w:r>
      <w:r>
        <w:fldChar w:fldCharType="separate"/>
      </w:r>
      <w:r>
        <w:rPr>
          <w:rStyle w:val="CharStyle6"/>
          <w:lang w:val="en-US" w:eastAsia="en-US"/>
        </w:rPr>
        <w:t>kardeya.auctions@mail.ru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7"/>
          <w:b/>
          <w:bCs/>
        </w:rPr>
        <w:t>РЕШЕНИЕ № 7-1/388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tabs>
          <w:tab w:pos="8798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6"/>
        </w:rPr>
        <w:t>28.10.2025</w:t>
        <w:tab/>
        <w:t>г. Хабаровск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6"/>
        </w:rPr>
        <w:t>Комиссия Управления Федеральной антимонопольной службы по Хабаровскому краю отдела контроля закупок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683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6"/>
        </w:rPr>
        <w:t>Председатель Комиссии: - М.А. Пилипенко</w:t>
        <w:tab/>
        <w:t>- начальник отдела 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062" w:val="left"/>
          <w:tab w:pos="568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Члены Комиссии:</w:t>
        <w:tab/>
        <w:t>- Н.А. Андреева</w:t>
        <w:tab/>
        <w:t>- главный специалист-эксперт отдела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740" w:right="0" w:firstLine="0"/>
        <w:jc w:val="both"/>
      </w:pPr>
      <w:r>
        <w:rPr>
          <w:rStyle w:val="CharStyle6"/>
        </w:rPr>
        <w:t>контроля закупок;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40" w:right="0" w:firstLine="0"/>
        <w:jc w:val="right"/>
      </w:pPr>
      <w:r>
        <w:rPr>
          <w:rStyle w:val="CharStyle6"/>
        </w:rPr>
        <w:t>- И.Н. Лупина - главный специалист-эксперт отдела контроля закупок,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в присутствии представителей от: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ООО «Кардея»: Еремина И.А.. по доверенности от 22.10.2025;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заказчика - Краевое государственное казенное учреждение здравоохранения «Медицинский информационно-аналитический центр» министерства здравоохранения Хабаровского края: Копалов Е.Н. по доверенности от 14.03.2024 № 13/25;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уполномоченного органа - Комитет государственного заказа Правительства Хабаровского края: Быба О.В. по доверенности от 04.04.2025 № 3;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740"/>
        <w:jc w:val="both"/>
      </w:pPr>
      <w:r>
        <w:rPr>
          <w:rStyle w:val="CharStyle6"/>
        </w:rPr>
        <w:t>рассмотрев жалобу - ООО «Кардея» и материалы дела № 027/06/105-1816/2025, Комиссия Хабаровского УФАС России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464" w:bottom="1212" w:left="109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9"/>
        </w:rPr>
        <w:t>1IIIIIIIIIIIIIIIIIIIIIII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  <w:b/>
          <w:bCs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В Управление Федеральной антимонопольной службы по Хабаровскому краю поступила жалоба ООО «Кардея» на действия заказчика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Краевое государственное казенное учреждение здравоохранения «Медицинский информационно</w:t>
        <w:softHyphen/>
        <w:t xml:space="preserve">аналитический центр» министерства здравоохранения Хабаровского края уполномоченного органа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Комитет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медицинских изделий: Комплект изделий чрескожного мониторинга уровня глюкозы в интерстициальной жидкости электрохимический метод (система непрерывного мониторинга глюкозы) (извещение </w:t>
      </w:r>
      <w:r>
        <w:rPr>
          <w:rStyle w:val="CharStyle6"/>
          <w:lang w:val="en-US" w:eastAsia="en-US"/>
        </w:rPr>
        <w:t>№ 0122200002525003900).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Заявитель указывает в жалобе на нарушение Заказчиком требований Федерального закона </w:t>
      </w:r>
      <w:r>
        <w:rPr>
          <w:rStyle w:val="CharStyle6"/>
          <w:lang w:val="en-US" w:eastAsia="en-US"/>
        </w:rPr>
        <w:t xml:space="preserve">№ </w:t>
      </w:r>
      <w:r>
        <w:rPr>
          <w:rStyle w:val="CharStyle6"/>
        </w:rPr>
        <w:t xml:space="preserve">44-ФЗ от </w:t>
      </w:r>
      <w:r>
        <w:rPr>
          <w:rStyle w:val="CharStyle6"/>
          <w:lang w:val="en-US" w:eastAsia="en-US"/>
        </w:rPr>
        <w:t xml:space="preserve">05.04.2013 </w:t>
      </w:r>
      <w:r>
        <w:rPr>
          <w:rStyle w:val="CharStyle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Закон о контрактной системе) при описании объекта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На основании статьи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>Закона о контрактной системе Хабаровским УФАС России принято решение о проведении внеплановой проверки, по результатам проведения которой установлено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Извещение </w:t>
      </w:r>
      <w:r>
        <w:rPr>
          <w:rStyle w:val="CharStyle6"/>
          <w:lang w:val="en-US" w:eastAsia="en-US"/>
        </w:rPr>
        <w:t xml:space="preserve">№ 0122200002525003900 </w:t>
      </w:r>
      <w:r>
        <w:rPr>
          <w:rStyle w:val="CharStyle6"/>
        </w:rPr>
        <w:t xml:space="preserve">о проведении запроса котировок в электронной форме размещено на официальном сайте единой информационной системы в сфере закупок </w:t>
      </w:r>
      <w:r>
        <w:rPr>
          <w:rStyle w:val="CharStyle6"/>
          <w:lang w:val="en-US" w:eastAsia="en-US"/>
        </w:rPr>
        <w:t>15.10.2025.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Объект закупки: поставка медицинских изделий: Комплект изделий чрескожного мониторинга уровня глюкозы в интерстициальной жидкости электрохимический метод (система непрерывного мониторинга глюкозы).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Дата и время окончания срока подачи заявок: </w:t>
      </w:r>
      <w:r>
        <w:rPr>
          <w:rStyle w:val="CharStyle6"/>
          <w:lang w:val="en-US" w:eastAsia="en-US"/>
        </w:rPr>
        <w:t xml:space="preserve">23.10.2025 08:00 </w:t>
      </w:r>
      <w:r>
        <w:rPr>
          <w:rStyle w:val="CharStyle6"/>
        </w:rPr>
        <w:t>(МСК+7).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Начальная (максимальная) цена контракта составляет </w:t>
      </w:r>
      <w:r>
        <w:rPr>
          <w:rStyle w:val="CharStyle6"/>
          <w:lang w:val="en-US" w:eastAsia="en-US"/>
        </w:rPr>
        <w:t xml:space="preserve">41 785 350,60 </w:t>
      </w:r>
      <w:r>
        <w:rPr>
          <w:rStyle w:val="CharStyle6"/>
        </w:rPr>
        <w:t>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Уполномоченным органом в материалы дела представлен мотивированный отзыв, согласно которому считают жалобу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Изучив материалы дела </w:t>
      </w:r>
      <w:r>
        <w:rPr>
          <w:rStyle w:val="CharStyle6"/>
          <w:lang w:val="en-US" w:eastAsia="en-US"/>
        </w:rPr>
        <w:t xml:space="preserve">№ 027/06/105-1816/2025, </w:t>
      </w:r>
      <w:r>
        <w:rPr>
          <w:rStyle w:val="CharStyle6"/>
        </w:rPr>
        <w:t>исходя из конкретных обстоятельств настоящего дела, Комиссия Хабаровского УФАС России пришла к следующим выводам.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В силу ч.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 (ст.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>Закона о контрактной системе).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740"/>
        <w:jc w:val="both"/>
        <w:rPr>
          <w:sz w:val="24"/>
          <w:szCs w:val="24"/>
        </w:r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0" w:right="541" w:bottom="497" w:left="1101" w:header="672" w:footer="69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В соответствии с п.1 ч.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42 </w:t>
      </w:r>
      <w:r>
        <w:rPr>
          <w:rStyle w:val="CharStyle6"/>
        </w:rPr>
        <w:t xml:space="preserve">Закона о контрактной системе извещение об </w:t>
      </w:r>
      <w:r>
        <w:rPr>
          <w:rStyle w:val="CharStyle6"/>
          <w:sz w:val="24"/>
          <w:szCs w:val="24"/>
          <w:lang w:val="en-US" w:eastAsia="en-US"/>
        </w:rPr>
        <w:t>2025-13111 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настоящего Федерального закона.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п.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 xml:space="preserve">ч.1 ст. </w:t>
      </w:r>
      <w:r>
        <w:rPr>
          <w:rStyle w:val="CharStyle6"/>
          <w:lang w:val="en-US" w:eastAsia="en-US"/>
        </w:rPr>
        <w:t xml:space="preserve">42 </w:t>
      </w:r>
      <w:r>
        <w:rPr>
          <w:rStyle w:val="CharStyle6"/>
        </w:rPr>
        <w:t xml:space="preserve">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содержащее следующую информацию: наименование объекта закупки; информацию (при наличии), предусмотренную правилами использования каталога товаров, работ услуг для обеспечения государственных и муниципальных нужд, установленными в соответствии с частью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23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Часть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23 </w:t>
      </w:r>
      <w:r>
        <w:rPr>
          <w:rStyle w:val="CharStyle6"/>
        </w:rPr>
        <w:t xml:space="preserve">Закона о контрактной системе устанавливает, что порядок формирования и ведения в единой информационной системе каталога товаров, работ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Правила формирования КТРУ), а также правила использования указанного каталога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Правила использования КТРУ) устанавливаются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Правила формирования КТРУ и Правила использования КТРУ утверждены постановлением Правительства Российской Федерации от </w:t>
      </w:r>
      <w:r>
        <w:rPr>
          <w:rStyle w:val="CharStyle6"/>
          <w:lang w:val="en-US" w:eastAsia="en-US"/>
        </w:rPr>
        <w:t xml:space="preserve">08.02.2017 № 145 </w:t>
      </w:r>
      <w:r>
        <w:rPr>
          <w:rStyle w:val="CharStyle6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Из п. </w:t>
      </w:r>
      <w:r>
        <w:rPr>
          <w:rStyle w:val="CharStyle6"/>
          <w:lang w:val="en-US" w:eastAsia="en-US"/>
        </w:rPr>
        <w:t xml:space="preserve">4 </w:t>
      </w:r>
      <w:r>
        <w:rPr>
          <w:rStyle w:val="CharStyle6"/>
        </w:rPr>
        <w:t xml:space="preserve">Правил использования КТРУ следует,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«г» и «е»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«з» пункта </w:t>
      </w:r>
      <w:r>
        <w:rPr>
          <w:rStyle w:val="CharStyle6"/>
          <w:lang w:val="en-US" w:eastAsia="en-US"/>
        </w:rPr>
        <w:t xml:space="preserve">10 </w:t>
      </w:r>
      <w:r>
        <w:rPr>
          <w:rStyle w:val="CharStyle6"/>
        </w:rPr>
        <w:t>Правил формирования КТРУ, с указанной в ней даты начала обязательного применения.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наименование товара, работы, услуги;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единицы измерения количества товара, объема выполняемой работы оказываемой услуги (при наличии);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описание товара, работы, услуги (при наличии такого описания в позиции).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п.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 в описании объекта закупки указываются функциональные, технические и качественные характеристики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ч.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 описание объекта закупки 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соответствии с требованиями, указанными в 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настоящей статьи, должно содержать показатели, позволяющие определить соответствие закупаемых товара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6"/>
        </w:rPr>
        <w:t xml:space="preserve">Согласно извещению предметом закупки является: «Комплект изделий чрескожного мониторинга уровня глюкозы в интерстициальной жидкости электрохимический метод» (код позиции КТРУ: </w:t>
      </w:r>
      <w:r>
        <w:rPr>
          <w:rStyle w:val="CharStyle6"/>
          <w:lang w:val="en-US" w:eastAsia="en-US"/>
        </w:rPr>
        <w:t xml:space="preserve">26.60.12.129-00000253, </w:t>
      </w:r>
      <w:r>
        <w:rPr>
          <w:rStyle w:val="CharStyle6"/>
        </w:rPr>
        <w:t xml:space="preserve">код ОКПД2: </w:t>
      </w:r>
      <w:r>
        <w:rPr>
          <w:rStyle w:val="CharStyle6"/>
          <w:lang w:val="en-US" w:eastAsia="en-US"/>
        </w:rPr>
        <w:t>26.60.12.129).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6"/>
        </w:rPr>
        <w:t>Приложением к извещению о закупке «Техническая часть» установлены функциональные, технические и качественные характеристики, эксплуатационные характеристики товара. Показатели, позволяющие определить соответствие закупаемых товаров установленным требованиям,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20"/>
        <w:jc w:val="both"/>
      </w:pPr>
      <w:r>
        <w:rPr>
          <w:rStyle w:val="CharStyle6"/>
        </w:rPr>
        <w:t>Так, к поставке требуется товар со следующими характеристиками:</w:t>
      </w:r>
    </w:p>
    <w:tbl>
      <w:tblPr>
        <w:tblOverlap w:val="never"/>
        <w:jc w:val="center"/>
        <w:tblLayout w:type="fixed"/>
      </w:tblPr>
      <w:tblGrid>
        <w:gridCol w:w="710"/>
        <w:gridCol w:w="4680"/>
        <w:gridCol w:w="850"/>
        <w:gridCol w:w="4090"/>
      </w:tblGrid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  <w:lang w:val="en-US" w:eastAsia="en-US"/>
              </w:rPr>
              <w:t xml:space="preserve">№ </w:t>
            </w:r>
            <w:r>
              <w:rPr>
                <w:rStyle w:val="CharStyle23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Наименование товара, его показателей (характеристик), потребительских свойств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b/>
                <w:bCs/>
                <w:sz w:val="22"/>
                <w:szCs w:val="22"/>
              </w:rPr>
              <w:t>Значение показателя (характеристики)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4</w:t>
            </w:r>
          </w:p>
        </w:tc>
      </w:tr>
      <w:tr>
        <w:trPr>
          <w:trHeight w:val="6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28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Комплект изделий чрескожного мониторинга уровня глюкозы в интерстициальной жидкости, электрохимический метод [Код позиции КТРУ26.60.12.129-00000253]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Описание товара в позиции КТРУ (Описание по классификатору):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3082" w:val="left"/>
              </w:tabs>
              <w:bidi w:val="0"/>
              <w:spacing w:before="0" w:after="0" w:line="228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Комплект портативных изделий с электропитанием, предназначенных для продолжительного</w:t>
              <w:tab/>
              <w:t>мониторинга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концентрации глюкозы в интерстициальной жидкости пациента с сахарным диабетом, используя инвазивный электрохимический метод. Состоит из электрохимического, вводимого чрескожно электрода, который присоединяется к кабелю или передатчику, связанному с монитором или ресивером (может не входить в состав системы), который принимает, хранит и преобразует сигналы датчика для вывода показателей концентрации глюкозы на дисплей. Систему можно использовать в домашних или клинических условиях, она способствует определению случаев гипергликемии и гипогликемии, облегчает процесс назначения краткосрочной/долгосрочной терапии.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Возможность применения у детей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 xml:space="preserve">От </w:t>
            </w:r>
            <w:r>
              <w:rPr>
                <w:rStyle w:val="CharStyle23"/>
                <w:sz w:val="22"/>
                <w:szCs w:val="22"/>
                <w:lang w:val="en-US" w:eastAsia="en-US"/>
              </w:rPr>
              <w:t xml:space="preserve">4 </w:t>
            </w:r>
            <w:r>
              <w:rPr>
                <w:rStyle w:val="CharStyle23"/>
                <w:sz w:val="22"/>
                <w:szCs w:val="22"/>
              </w:rPr>
              <w:t>лет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  <w:lang w:val="en-US" w:eastAsia="en-US"/>
              </w:rPr>
              <w:t>1.2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Период обеспечения пациента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МЕС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23"/>
                <w:sz w:val="22"/>
                <w:szCs w:val="22"/>
              </w:rPr>
              <w:t>Больше или равно1.00000000000</w:t>
            </w:r>
          </w:p>
        </w:tc>
      </w:tr>
    </w:tbl>
    <w:p>
      <w:p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070" w:right="527" w:bottom="1141" w:left="1044" w:header="642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Также приложением к Технической части установлено, что каждая из </w:t>
      </w:r>
      <w:r>
        <w:rPr>
          <w:rStyle w:val="CharStyle6"/>
          <w:lang w:val="en-US" w:eastAsia="en-US"/>
        </w:rPr>
        <w:t xml:space="preserve">5180 </w:t>
      </w:r>
      <w:r>
        <w:rPr>
          <w:rStyle w:val="CharStyle6"/>
        </w:rPr>
        <w:t xml:space="preserve">единиц товара (шт) поставляемых комплектов изделий обеспечивает проведение чрескожного мониторинга уровня глюкозы в интерстициальной жидкости электрохимическим методом пациентом в течение периода обеспечения пациента </w:t>
      </w:r>
      <w:r>
        <w:rPr>
          <w:rStyle w:val="CharStyle6"/>
          <w:lang w:val="en-US" w:eastAsia="en-US"/>
        </w:rPr>
        <w:t xml:space="preserve">≥ 1 </w:t>
      </w:r>
      <w:r>
        <w:rPr>
          <w:rStyle w:val="CharStyle6"/>
        </w:rPr>
        <w:t xml:space="preserve">месяцу. Например, поставляется единица товара (Комплект изделий), включающая: одну систему на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месяц каждая; или две системы на </w:t>
      </w:r>
      <w:r>
        <w:rPr>
          <w:rStyle w:val="CharStyle6"/>
          <w:lang w:val="en-US" w:eastAsia="en-US"/>
        </w:rPr>
        <w:t xml:space="preserve">16 </w:t>
      </w:r>
      <w:r>
        <w:rPr>
          <w:rStyle w:val="CharStyle6"/>
        </w:rPr>
        <w:t xml:space="preserve">дней каждая; или две системы на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дней каждая; или три системы на </w:t>
      </w:r>
      <w:r>
        <w:rPr>
          <w:rStyle w:val="CharStyle6"/>
          <w:lang w:val="en-US" w:eastAsia="en-US"/>
        </w:rPr>
        <w:t xml:space="preserve">14 </w:t>
      </w:r>
      <w:r>
        <w:rPr>
          <w:rStyle w:val="CharStyle6"/>
        </w:rPr>
        <w:t xml:space="preserve">дней каждая и т.п. При этом каждая из </w:t>
      </w:r>
      <w:r>
        <w:rPr>
          <w:rStyle w:val="CharStyle6"/>
          <w:lang w:val="en-US" w:eastAsia="en-US"/>
        </w:rPr>
        <w:t xml:space="preserve">5180 </w:t>
      </w:r>
      <w:r>
        <w:rPr>
          <w:rStyle w:val="CharStyle6"/>
        </w:rPr>
        <w:t>единиц товара (шт) поставляемых комплектов изделий по своему составу полностью обеспечивает проведение мониторинга уровня глюкозы в интерстициальной жидкости, электрохимическим методом пациентом отдельно и независимо от остальных поставляемых единиц товаров (комплектов изделий)</w:t>
      </w:r>
      <w:r>
        <w:rPr>
          <w:rStyle w:val="CharStyle6"/>
          <w:lang w:val="en-US" w:eastAsia="en-US"/>
        </w:rPr>
        <w:t>..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Заявитель в жалобе указывает, что Заказчиком и уполномоченным органом установлены дополнительные требования к товару, не предусмотренные КТРУ, а именно </w:t>
      </w:r>
      <w:r>
        <w:rPr>
          <w:rStyle w:val="CharStyle6"/>
          <w:lang w:val="en-US" w:eastAsia="en-US"/>
        </w:rPr>
        <w:t xml:space="preserve">«…поставляется </w:t>
      </w:r>
      <w:r>
        <w:rPr>
          <w:rStyle w:val="CharStyle6"/>
        </w:rPr>
        <w:t xml:space="preserve">единица товара (Комплект изделий), включающая: одну систему на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месяц каждая; или две системы на </w:t>
      </w:r>
      <w:r>
        <w:rPr>
          <w:rStyle w:val="CharStyle6"/>
          <w:lang w:val="en-US" w:eastAsia="en-US"/>
        </w:rPr>
        <w:t xml:space="preserve">16 </w:t>
      </w:r>
      <w:r>
        <w:rPr>
          <w:rStyle w:val="CharStyle6"/>
        </w:rPr>
        <w:t xml:space="preserve">дней каждая; или две системы на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дней каждая; или три системы на </w:t>
      </w:r>
      <w:r>
        <w:rPr>
          <w:rStyle w:val="CharStyle6"/>
          <w:lang w:val="en-US" w:eastAsia="en-US"/>
        </w:rPr>
        <w:t xml:space="preserve">14 </w:t>
      </w:r>
      <w:r>
        <w:rPr>
          <w:rStyle w:val="CharStyle6"/>
        </w:rPr>
        <w:t xml:space="preserve">дней каждая и т.п. При этом каждая из </w:t>
      </w:r>
      <w:r>
        <w:rPr>
          <w:rStyle w:val="CharStyle6"/>
          <w:lang w:val="en-US" w:eastAsia="en-US"/>
        </w:rPr>
        <w:t xml:space="preserve">5180 </w:t>
      </w:r>
      <w:r>
        <w:rPr>
          <w:rStyle w:val="CharStyle6"/>
        </w:rPr>
        <w:t xml:space="preserve">единиц товара (шт) поставляемых комплектов изделий по своему составу полностью обеспечивает проведение мониторинга уровня глюкозы в интерстициальной жидкости, электрохимическим методом пациентом отдельно и независимо от остальных поставляемых единиц товаров (комплектов </w:t>
      </w:r>
      <w:r>
        <w:rPr>
          <w:rStyle w:val="CharStyle6"/>
          <w:lang w:val="en-US" w:eastAsia="en-US"/>
        </w:rPr>
        <w:t>изделий)…».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Представители уполномоченного органа и Заказчика пояснили, что приложением к Технической части установлено не описание объекта закупки, не дополнительные требования к товару, а общие требования к количеству товара. Также пояснили, что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комплект должен обеспечивать работу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в течение месяца.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Так, Комиссией Хабаровского УФАС России установлено, что согласно извещению о закупке общее количество комплектов, требующихся к поставке </w:t>
      </w:r>
      <w:r>
        <w:rPr>
          <w:rStyle w:val="CharStyle6"/>
          <w:lang w:val="en-US" w:eastAsia="en-US"/>
        </w:rPr>
        <w:t xml:space="preserve">– 5180 </w:t>
      </w:r>
      <w:r>
        <w:rPr>
          <w:rStyle w:val="CharStyle6"/>
        </w:rPr>
        <w:t>штук.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Вместе с тем, вопреки доводам Заявителя общие требования к количеству товара не являются функциональными, техническими или же качественными характеристиками. Спорное требование раскрывает возможность различной комплектации, поставляемого товара и установлено в целях расширения круга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Также отклоняется довод Заявителя об отсутствии обоснования закупаемого количества систем непрерывного мониторинга глюкозы с учетом количества пациентов, периода времени применения (включая продолжительность месяца </w:t>
      </w:r>
      <w:r>
        <w:rPr>
          <w:rStyle w:val="CharStyle6"/>
          <w:lang w:val="en-US" w:eastAsia="en-US"/>
        </w:rPr>
        <w:t xml:space="preserve">(28 30, 31 </w:t>
      </w:r>
      <w:r>
        <w:rPr>
          <w:rStyle w:val="CharStyle6"/>
        </w:rPr>
        <w:t>день) и срока службы датчика медицинского изделия.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Приводя указанный довод, Заявитель ошибочно трактует, что товар являющийся предметом закупки, приобретается Заказчиком на обеспечение конкретного (постоянного) количества пациентов на период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месяц.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пояснениям Заказчика, уполномоченного органа количество поставляемых комплектов рассчитано ориентируясь на среднее количество пациентов, для которых приобретается товар, и руководствуясь периодом обеспечения, установленным в диапазоне равно или более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месяца.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720"/>
        <w:jc w:val="both"/>
        <w:rPr>
          <w:sz w:val="24"/>
          <w:szCs w:val="24"/>
        </w:r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564" w:left="1106" w:header="677" w:footer="136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При этом уполномоченным органом представлена информация о наличии нескольких производителей комплектов изделий, соответствующих требованиям </w:t>
      </w:r>
      <w:r>
        <w:rPr>
          <w:rStyle w:val="CharStyle6"/>
          <w:sz w:val="24"/>
          <w:szCs w:val="24"/>
          <w:lang w:val="en-US" w:eastAsia="en-US"/>
        </w:rPr>
        <w:t>2025-13111 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140" w:after="0" w:line="240" w:lineRule="auto"/>
        <w:ind w:left="0" w:right="0" w:firstLine="0"/>
        <w:jc w:val="both"/>
      </w:pPr>
      <w:r>
        <w:rPr>
          <w:rStyle w:val="CharStyle6"/>
        </w:rPr>
        <w:t>извещения о закупке: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система </w:t>
      </w:r>
      <w:r>
        <w:rPr>
          <w:rStyle w:val="CharStyle6"/>
          <w:lang w:val="en-US" w:eastAsia="en-US"/>
        </w:rPr>
        <w:t xml:space="preserve">Flash </w:t>
      </w:r>
      <w:r>
        <w:rPr>
          <w:rStyle w:val="CharStyle6"/>
        </w:rPr>
        <w:t xml:space="preserve">мониторинга глюкозы </w:t>
      </w:r>
      <w:r>
        <w:rPr>
          <w:rStyle w:val="CharStyle6"/>
          <w:lang w:val="en-US" w:eastAsia="en-US"/>
        </w:rPr>
        <w:t xml:space="preserve">FreeStyle Libre2, </w:t>
      </w:r>
      <w:r>
        <w:rPr>
          <w:rStyle w:val="CharStyle6"/>
        </w:rPr>
        <w:t xml:space="preserve">производитель Эбботт Дайабитиз Кэе Лтд, РЗН </w:t>
      </w:r>
      <w:r>
        <w:rPr>
          <w:rStyle w:val="CharStyle6"/>
          <w:lang w:val="en-US" w:eastAsia="en-US"/>
        </w:rPr>
        <w:t xml:space="preserve">2022/16406,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- 14 </w:t>
      </w:r>
      <w:r>
        <w:rPr>
          <w:rStyle w:val="CharStyle6"/>
        </w:rPr>
        <w:t>дней;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система непрерывного мониторинга глюкозы </w:t>
      </w:r>
      <w:r>
        <w:rPr>
          <w:rStyle w:val="CharStyle6"/>
          <w:lang w:val="en-US" w:eastAsia="en-US"/>
        </w:rPr>
        <w:t xml:space="preserve">iCan i3 CGM, </w:t>
      </w:r>
      <w:r>
        <w:rPr>
          <w:rStyle w:val="CharStyle6"/>
        </w:rPr>
        <w:t xml:space="preserve">производитель: «Чанша Сайнокэ Инк», РЗН </w:t>
      </w:r>
      <w:r>
        <w:rPr>
          <w:rStyle w:val="CharStyle6"/>
          <w:lang w:val="en-US" w:eastAsia="en-US"/>
        </w:rPr>
        <w:t xml:space="preserve">2024/23862,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- 15 </w:t>
      </w:r>
      <w:r>
        <w:rPr>
          <w:rStyle w:val="CharStyle6"/>
        </w:rPr>
        <w:t>дней;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система непрерывного мониторинга глюкозы </w:t>
      </w:r>
      <w:r>
        <w:rPr>
          <w:rStyle w:val="CharStyle6"/>
          <w:lang w:val="en-US" w:eastAsia="en-US"/>
        </w:rPr>
        <w:t xml:space="preserve">Hematonix GS1, </w:t>
      </w:r>
      <w:r>
        <w:rPr>
          <w:rStyle w:val="CharStyle6"/>
        </w:rPr>
        <w:t xml:space="preserve">модель </w:t>
      </w:r>
      <w:r>
        <w:rPr>
          <w:rStyle w:val="CharStyle6"/>
          <w:lang w:val="en-US" w:eastAsia="en-US"/>
        </w:rPr>
        <w:t xml:space="preserve">GS1Sb </w:t>
      </w:r>
      <w:r>
        <w:rPr>
          <w:rStyle w:val="CharStyle6"/>
        </w:rPr>
        <w:t xml:space="preserve">производитель </w:t>
      </w:r>
      <w:r>
        <w:rPr>
          <w:rStyle w:val="CharStyle6"/>
          <w:lang w:val="en-US" w:eastAsia="en-US"/>
        </w:rPr>
        <w:t xml:space="preserve">Shenzhen SiSensing Co., Ltd., </w:t>
      </w:r>
      <w:r>
        <w:rPr>
          <w:rStyle w:val="CharStyle6"/>
        </w:rPr>
        <w:t xml:space="preserve">Шеньчжэнь СиСенсин Ко., Лтд, РЗН </w:t>
      </w:r>
      <w:r>
        <w:rPr>
          <w:rStyle w:val="CharStyle6"/>
          <w:lang w:val="en-US" w:eastAsia="en-US"/>
        </w:rPr>
        <w:t xml:space="preserve">2024/22208,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- 16 </w:t>
      </w:r>
      <w:r>
        <w:rPr>
          <w:rStyle w:val="CharStyle6"/>
        </w:rPr>
        <w:t>дней;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система непрерывного мониторинга глюкозы </w:t>
      </w:r>
      <w:r>
        <w:rPr>
          <w:rStyle w:val="CharStyle6"/>
          <w:lang w:val="en-US" w:eastAsia="en-US"/>
        </w:rPr>
        <w:t xml:space="preserve">Glutec v3, </w:t>
      </w:r>
      <w:r>
        <w:rPr>
          <w:rStyle w:val="CharStyle6"/>
        </w:rPr>
        <w:t xml:space="preserve">производитель ООО «Имунова», РЗН </w:t>
      </w:r>
      <w:r>
        <w:rPr>
          <w:rStyle w:val="CharStyle6"/>
          <w:lang w:val="en-US" w:eastAsia="en-US"/>
        </w:rPr>
        <w:t xml:space="preserve">2025/25123,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- 18 </w:t>
      </w:r>
      <w:r>
        <w:rPr>
          <w:rStyle w:val="CharStyle6"/>
        </w:rPr>
        <w:t>дней;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система непрерывного мониторинга глюкозы </w:t>
      </w:r>
      <w:r>
        <w:rPr>
          <w:rStyle w:val="CharStyle6"/>
          <w:lang w:val="en-US" w:eastAsia="en-US"/>
        </w:rPr>
        <w:t xml:space="preserve">Hematonix GS1 Max </w:t>
      </w:r>
      <w:r>
        <w:rPr>
          <w:rStyle w:val="CharStyle6"/>
        </w:rPr>
        <w:t xml:space="preserve">производитель ООО «Системы медицинского мониторинга», РЖ </w:t>
      </w:r>
      <w:r>
        <w:rPr>
          <w:rStyle w:val="CharStyle6"/>
          <w:lang w:val="en-US" w:eastAsia="en-US"/>
        </w:rPr>
        <w:t xml:space="preserve">2025/25125,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 </w:t>
      </w:r>
      <w:r>
        <w:rPr>
          <w:rStyle w:val="CharStyle6"/>
        </w:rPr>
        <w:t>месяц;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система непрерывного мониторинга глюкозы </w:t>
      </w:r>
      <w:r>
        <w:rPr>
          <w:rStyle w:val="CharStyle6"/>
          <w:lang w:val="en-US" w:eastAsia="en-US"/>
        </w:rPr>
        <w:t xml:space="preserve">Lumiflex Linx, </w:t>
      </w:r>
      <w:r>
        <w:rPr>
          <w:rStyle w:val="CharStyle6"/>
        </w:rPr>
        <w:t xml:space="preserve">производитель ООО «Агата», РЗН </w:t>
      </w:r>
      <w:r>
        <w:rPr>
          <w:rStyle w:val="CharStyle6"/>
          <w:lang w:val="en-US" w:eastAsia="en-US"/>
        </w:rPr>
        <w:t xml:space="preserve">2025/25127,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 </w:t>
      </w:r>
      <w:r>
        <w:rPr>
          <w:rStyle w:val="CharStyle6"/>
        </w:rPr>
        <w:t>месяц.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Следовательно, также отклоняется довод Заявителя о том, что описанию закупки товара соответствует одна система непрерывного мониторинга глюкозы: </w:t>
      </w:r>
      <w:r>
        <w:rPr>
          <w:rStyle w:val="CharStyle6"/>
          <w:lang w:val="en-US" w:eastAsia="en-US"/>
        </w:rPr>
        <w:t xml:space="preserve">Lumiflex Linx, </w:t>
      </w:r>
      <w:r>
        <w:rPr>
          <w:rStyle w:val="CharStyle6"/>
        </w:rPr>
        <w:t xml:space="preserve">производитель ООО «Агата», РЗН </w:t>
      </w:r>
      <w:r>
        <w:rPr>
          <w:rStyle w:val="CharStyle6"/>
          <w:lang w:val="en-US" w:eastAsia="en-US"/>
        </w:rPr>
        <w:t xml:space="preserve">2025/25127, </w:t>
      </w:r>
      <w:r>
        <w:rPr>
          <w:rStyle w:val="CharStyle6"/>
        </w:rPr>
        <w:t xml:space="preserve">период обеспечения пациента </w:t>
      </w:r>
      <w:r>
        <w:rPr>
          <w:rStyle w:val="CharStyle6"/>
          <w:lang w:val="en-US" w:eastAsia="en-US"/>
        </w:rPr>
        <w:t xml:space="preserve">- 1 </w:t>
      </w:r>
      <w:r>
        <w:rPr>
          <w:rStyle w:val="CharStyle6"/>
        </w:rPr>
        <w:t>месяц.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Таким образом, Комиссия Хабаровского УФАС России приходит к выводу о том, что оспариваемые положения извещения о закупке, касающиеся описания объекта закупки, соответствуют требованиям Закона о контрактной системе и не содержат в оспариваемых действиях заказчика, уполномоченного органа нарушения требований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По смыслу ст.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системе, характеристики объекта закупки устанавливаются заказчиком исходя из цели заключения государственного контракта и соответствующих, определенных с учетом данных целей, потребностей заказчика.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рассматриваемом случае, в описании объекта закупки установлены четкие и конкретные требования к закупаемым комплектам изделий чрескожного мониторинга уровня глюкозы, что не противоречит требованиям действующего законодательства.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Также Комиссия Хабаровского УФАС России принимает во внимание пояснения Заказчика о том, что указанная закупка проводится в рамках реализации федерального проекта «Борьба с сахарным диабетом» в целях своевременного обеспечения детей в возрасте от 4-х до </w:t>
      </w:r>
      <w:r>
        <w:rPr>
          <w:rStyle w:val="CharStyle6"/>
          <w:lang w:val="en-US" w:eastAsia="en-US"/>
        </w:rPr>
        <w:t xml:space="preserve">17 </w:t>
      </w:r>
      <w:r>
        <w:rPr>
          <w:rStyle w:val="CharStyle6"/>
        </w:rPr>
        <w:t xml:space="preserve">лет включительно с установленным диагнозом сахарный диабет </w:t>
      </w:r>
      <w:r>
        <w:rPr>
          <w:rStyle w:val="CharStyle6"/>
          <w:lang w:val="en-US" w:eastAsia="en-US"/>
        </w:rPr>
        <w:t xml:space="preserve">I </w:t>
      </w:r>
      <w:r>
        <w:rPr>
          <w:rStyle w:val="CharStyle6"/>
        </w:rPr>
        <w:t>типа, нуждающихся в системах непрерывного мониторинга глюкозы. Такие закупки осуществляются заказчиком ежегодно на регулярной основе, источником финансирования таких закупок являются целевые средства, предоставляемые в рамках реализации соглашений о предоставлении субсидии из федерального бюджета бюджету субъекта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Комплекты непрерывного мониторинга глюкозы приобретаются заказчиком в целях обеспечения определенного круга пациентов: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в возрасте от 4-х до </w:t>
      </w:r>
      <w:r>
        <w:rPr>
          <w:rStyle w:val="CharStyle6"/>
          <w:lang w:val="en-US" w:eastAsia="en-US"/>
        </w:rPr>
        <w:t xml:space="preserve">17 </w:t>
      </w:r>
      <w:r>
        <w:rPr>
          <w:rStyle w:val="CharStyle6"/>
        </w:rPr>
        <w:t>лет включительно;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имеющих установленный диагноз сахарный диабет </w:t>
      </w:r>
      <w:r>
        <w:rPr>
          <w:rStyle w:val="CharStyle6"/>
          <w:lang w:val="en-US" w:eastAsia="en-US"/>
        </w:rPr>
        <w:t xml:space="preserve">I </w:t>
      </w:r>
      <w:r>
        <w:rPr>
          <w:rStyle w:val="CharStyle6"/>
        </w:rPr>
        <w:t>типа;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получивших решение детского врача эндокринолога о необходимости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использования системы непрерывного мониторинга глюкозы на срок не более </w:t>
      </w:r>
      <w:r>
        <w:rPr>
          <w:rStyle w:val="CharStyle6"/>
          <w:lang w:val="en-US" w:eastAsia="en-US"/>
        </w:rPr>
        <w:t xml:space="preserve">12 </w:t>
      </w:r>
      <w:r>
        <w:rPr>
          <w:rStyle w:val="CharStyle6"/>
        </w:rPr>
        <w:t>месяцев.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Принимая во внимание вышеизложенное, с учетом конкретных обстоятельств установленных в рамках рассмотрения настоящего дела, Комиссия Хабаровского УФАС России приходит к выводу о признании жалобы необоснованной.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6"/>
        </w:rPr>
        <w:t xml:space="preserve">На основании изложенного, руководствуясь частями </w:t>
      </w:r>
      <w:r>
        <w:rPr>
          <w:rStyle w:val="CharStyle6"/>
          <w:lang w:val="en-US" w:eastAsia="en-US"/>
        </w:rPr>
        <w:t xml:space="preserve">8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106, </w:t>
      </w:r>
      <w:r>
        <w:rPr>
          <w:rStyle w:val="CharStyle6"/>
        </w:rPr>
        <w:t xml:space="preserve">пунктом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частью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>Закона о контрактной системе в сфере закупок, Комиссия Хабаровского УФАС России,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Признать жалобу ООО «Кардея» на действия заказчика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 xml:space="preserve">Краевое государственное казенное учреждение здравоохранения «Медицинский информационно-аналитический центр» министерства здравоохранения Хабаровского края, уполномоченного органа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Комитет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медицинских изделий: Комплект изделий чрескожного мониторинга уровня глюкозы в интерстициальной жидкости электрохимический метод (система непрерывного мониторинга глюкозы) (извещение </w:t>
      </w:r>
      <w:r>
        <w:rPr>
          <w:rStyle w:val="CharStyle6"/>
          <w:lang w:val="en-US" w:eastAsia="en-US"/>
        </w:rPr>
        <w:t xml:space="preserve">№ 0122200002525003900) - </w:t>
      </w:r>
      <w:r>
        <w:rPr>
          <w:rStyle w:val="CharStyle6"/>
        </w:rPr>
        <w:t>необоснованной</w:t>
      </w:r>
      <w:r>
        <w:rPr>
          <w:rStyle w:val="CharStyle6"/>
          <w:b/>
          <w:bCs/>
        </w:rPr>
        <w:t>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032" w:right="542" w:bottom="1098" w:left="1105" w:header="604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330200</wp:posOffset>
                </wp:positionV>
                <wp:extent cx="1810385" cy="247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03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26.pt;width:142.55000000000001pt;height:19.449999999999999pt;z-index:-125829372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1160" distB="0" distL="0" distR="1786255" simplePos="0" relativeHeight="125829383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391160</wp:posOffset>
            </wp:positionV>
            <wp:extent cx="359410" cy="53022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805815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63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488950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38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0390" distB="118745" distL="0" distR="0" simplePos="0" relativeHeight="125829384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580390</wp:posOffset>
                </wp:positionV>
                <wp:extent cx="1280160" cy="2222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М.А. Пилипенко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05000000000001pt;margin-top:45.700000000000003pt;width:100.8pt;height:17.5pt;z-index:-125829369;mso-wrap-distance-left:0;mso-wrap-distance-top:45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М.А. Пилипенко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70560" distL="114300" distR="114300" simplePos="0" relativeHeight="125829386" behindDoc="0" locked="0" layoutInCell="1" allowOverlap="1">
                <wp:simplePos x="0" y="0"/>
                <wp:positionH relativeFrom="page">
                  <wp:posOffset>2668905</wp:posOffset>
                </wp:positionH>
                <wp:positionV relativeFrom="paragraph">
                  <wp:posOffset>12700</wp:posOffset>
                </wp:positionV>
                <wp:extent cx="2172970" cy="29845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297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0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30"/>
                                <w:color w:val="000000"/>
                                <w:sz w:val="11"/>
                                <w:szCs w:val="11"/>
                              </w:rPr>
                              <w:t>Пилипенко Мария Алексеевна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30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30"/>
                                <w:lang w:val="en-US" w:eastAsia="en-US"/>
                              </w:rPr>
                              <w:t>0797EFE01D318B1</w:t>
                            </w:r>
                            <w:r>
                              <w:rPr>
                                <w:rStyle w:val="CharStyle30"/>
                              </w:rPr>
                              <w:t>8АС0С7С1</w:t>
                            </w:r>
                            <w:r>
                              <w:rPr>
                                <w:rStyle w:val="CharStyle30"/>
                                <w:color w:val="292929"/>
                              </w:rPr>
                              <w:t>91</w:t>
                            </w:r>
                            <w:r>
                              <w:rPr>
                                <w:rStyle w:val="CharStyle30"/>
                                <w:lang w:val="en-US" w:eastAsia="en-US"/>
                              </w:rPr>
                              <w:t>ECDCCEE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 xml:space="preserve">Действителен с 09.01.2025 </w:t>
                            </w:r>
                            <w:r>
                              <w:rPr>
                                <w:rStyle w:val="CharStyle30"/>
                                <w:color w:val="5C5C5C"/>
                              </w:rPr>
                              <w:t xml:space="preserve">по </w:t>
                            </w:r>
                            <w:r>
                              <w:rPr>
                                <w:rStyle w:val="CharStyle30"/>
                              </w:rPr>
                              <w:t>04.04.2026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0.15000000000001pt;margin-top:1.pt;width:171.09999999999999pt;height:23.5pt;z-index:-125829367;mso-wrap-distance-left:9.pt;mso-wrap-distance-right:9.pt;mso-wrap-distance-bottom:52.800000000000004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0"/>
                        </w:rPr>
                        <w:t xml:space="preserve">Кому выдан: </w:t>
                      </w:r>
                      <w:r>
                        <w:rPr>
                          <w:rStyle w:val="CharStyle30"/>
                          <w:color w:val="000000"/>
                          <w:sz w:val="11"/>
                          <w:szCs w:val="11"/>
                        </w:rPr>
                        <w:t>Пилипенко Мария Алексеевна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 xml:space="preserve">Сертификат </w:t>
                      </w:r>
                      <w:r>
                        <w:rPr>
                          <w:rStyle w:val="CharStyle30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30"/>
                          <w:lang w:val="en-US" w:eastAsia="en-US"/>
                        </w:rPr>
                        <w:t>0797EFE01D318B1</w:t>
                      </w:r>
                      <w:r>
                        <w:rPr>
                          <w:rStyle w:val="CharStyle30"/>
                        </w:rPr>
                        <w:t>8АС0С7С1</w:t>
                      </w:r>
                      <w:r>
                        <w:rPr>
                          <w:rStyle w:val="CharStyle30"/>
                          <w:color w:val="292929"/>
                        </w:rPr>
                        <w:t>91</w:t>
                      </w:r>
                      <w:r>
                        <w:rPr>
                          <w:rStyle w:val="CharStyle30"/>
                          <w:lang w:val="en-US" w:eastAsia="en-US"/>
                        </w:rPr>
                        <w:t>ECDCCEE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 xml:space="preserve">Действителен с 09.01.2025 </w:t>
                      </w:r>
                      <w:r>
                        <w:rPr>
                          <w:rStyle w:val="CharStyle30"/>
                          <w:color w:val="5C5C5C"/>
                        </w:rPr>
                        <w:t xml:space="preserve">по </w:t>
                      </w:r>
                      <w:r>
                        <w:rPr>
                          <w:rStyle w:val="CharStyle30"/>
                        </w:rPr>
                        <w:t>04.04.2026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624840" distB="0" distL="132715" distR="1973580" simplePos="0" relativeHeight="125829388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637540</wp:posOffset>
            </wp:positionV>
            <wp:extent cx="298450" cy="347345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698500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0000000000001pt;margin-top:55.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931035" simplePos="0" relativeHeight="125829389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1710055</wp:posOffset>
            </wp:positionV>
            <wp:extent cx="298450" cy="34734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1771015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30000000000001pt;margin-top:139.45000000000002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6"/>
        </w:rPr>
        <w:t>Члены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right"/>
      </w:pPr>
      <w:r>
        <w:rPr>
          <w:rStyle w:val="CharStyle6"/>
        </w:rPr>
        <w:t>Н.А. Андреева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35"/>
          <w:color w:val="FFFFFF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Андреева Наталья Анатольевна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145C086673CDEA632A000A3F830A5E05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30"/>
        </w:rPr>
        <w:t xml:space="preserve">Действителен с 24.02.2025 </w:t>
      </w:r>
      <w:r>
        <w:rPr>
          <w:rStyle w:val="CharStyle30"/>
          <w:color w:val="5C5C5C"/>
        </w:rPr>
        <w:t xml:space="preserve">по </w:t>
      </w:r>
      <w:r>
        <w:rPr>
          <w:rStyle w:val="CharStyle30"/>
        </w:rPr>
        <w:t>20.05.2026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right"/>
      </w:pPr>
      <w:r>
        <w:rPr>
          <w:rStyle w:val="CharStyle6"/>
        </w:rPr>
        <w:t>И.Н. Лупина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35"/>
          <w:color w:val="FFFFFF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Лупина Ирина Николаевна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42F2</w:t>
      </w:r>
      <w:r>
        <w:rPr>
          <w:rStyle w:val="CharStyle30"/>
        </w:rPr>
        <w:t>1</w:t>
      </w:r>
      <w:r>
        <w:rPr>
          <w:rStyle w:val="CharStyle30"/>
          <w:color w:val="292929"/>
          <w:lang w:val="en-US" w:eastAsia="en-US"/>
        </w:rPr>
        <w:t>8FED5F</w:t>
      </w:r>
      <w:r>
        <w:rPr>
          <w:rStyle w:val="CharStyle30"/>
          <w:color w:val="292929"/>
        </w:rPr>
        <w:t>1</w:t>
      </w:r>
      <w:r>
        <w:rPr>
          <w:rStyle w:val="CharStyle30"/>
          <w:lang w:val="en-US" w:eastAsia="en-US"/>
        </w:rPr>
        <w:t>622005AB2076DA1</w:t>
      </w:r>
      <w:r>
        <w:rPr>
          <w:rStyle w:val="CharStyle30"/>
        </w:rPr>
        <w:t>7791</w:t>
      </w:r>
      <w:r>
        <w:rPr>
          <w:rStyle w:val="CharStyle30"/>
          <w:color w:val="292929"/>
        </w:rPr>
        <w:t>В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right="0" w:firstLine="0"/>
        <w:jc w:val="left"/>
      </w:pPr>
      <w:r>
        <w:rPr>
          <w:rStyle w:val="CharStyle30"/>
        </w:rPr>
        <w:t xml:space="preserve">Действителен с </w:t>
      </w:r>
      <w:r>
        <w:rPr>
          <w:rStyle w:val="CharStyle30"/>
          <w:color w:val="5C5C5C"/>
        </w:rPr>
        <w:t>20.1</w:t>
      </w:r>
      <w:r>
        <w:rPr>
          <w:rStyle w:val="CharStyle30"/>
          <w:color w:val="292929"/>
        </w:rPr>
        <w:t>1</w:t>
      </w:r>
      <w:r>
        <w:rPr>
          <w:rStyle w:val="CharStyle30"/>
        </w:rPr>
        <w:t xml:space="preserve">.2024 </w:t>
      </w:r>
      <w:r>
        <w:rPr>
          <w:rStyle w:val="CharStyle30"/>
          <w:color w:val="5C5C5C"/>
        </w:rPr>
        <w:t>по 1</w:t>
      </w:r>
      <w:r>
        <w:rPr>
          <w:rStyle w:val="CharStyle30"/>
        </w:rPr>
        <w:t>3.02.2026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1"/>
        </w:rPr>
        <w:t>Исп.Андреева Н.А.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02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0993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2025-13111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5.8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2025-13111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10059670</wp:posOffset>
              </wp:positionV>
              <wp:extent cx="646493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9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 xml:space="preserve">2025-13111 </w:t>
                          </w: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5.800000000000004pt;margin-top:792.10000000000002pt;width:509.05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 xml:space="preserve">2025-13111 </w:t>
                    </w: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10059670</wp:posOffset>
              </wp:positionV>
              <wp:extent cx="646493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9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 xml:space="preserve">2025-13111 </w:t>
                          </w: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5.800000000000004pt;margin-top:792.10000000000002pt;width:509.05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 xml:space="preserve">2025-13111 </w:t>
                    </w: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 (6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Picture caption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5">
    <w:name w:val="Body text (5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Body text (6)"/>
    <w:basedOn w:val="Normal"/>
    <w:link w:val="CharStyle19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Picture caption"/>
    <w:basedOn w:val="Normal"/>
    <w:link w:val="CharStyle2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4">
    <w:name w:val="Body text (5)"/>
    <w:basedOn w:val="Normal"/>
    <w:link w:val="CharStyle35"/>
    <w:pPr>
      <w:widowControl w:val="0"/>
      <w:shd w:val="clear" w:color="auto" w:fill="auto"/>
      <w:spacing w:after="8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/Relationships>
</file>