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ул. Барнаульская 4, г. Калининград, 236006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3"/>
        </w:rPr>
        <w:t>тел. (4012) 53-72-01, факс (4012) 53-72-00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3"/>
          <w:lang w:val="en-US" w:eastAsia="en-US"/>
        </w:rPr>
        <w:t>to39@fas.gov.ni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0,1</w:t>
      </w:r>
      <w:r>
        <w:rPr>
          <w:rStyle w:val="CharStyle11"/>
          <w:u w:val="none"/>
        </w:rPr>
        <w:t>1.</w:t>
      </w:r>
      <w:r>
        <w:rPr>
          <w:rStyle w:val="CharStyle11"/>
        </w:rPr>
        <w:t>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ИБ/6501/25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Решение по результатам рассмотрения жалобы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8"/>
          <w:b/>
          <w:bCs/>
        </w:rPr>
        <w:t>Заказчик: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МБУ «Дирекция ландшафтных парков» городского округа «Город Калининград» </w:t>
      </w:r>
      <w:r>
        <w:fldChar w:fldCharType="begin"/>
      </w:r>
      <w:r>
        <w:rPr/>
        <w:instrText> HYPERLINK "mailto:kldpark@klgd.ru"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kldpark@klgd.ru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8"/>
          <w:b/>
          <w:bCs/>
        </w:rPr>
        <w:t>Уполномоченный орган: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Комитет по финансам администрации городского округа «Город Калининград» </w:t>
      </w:r>
      <w:r>
        <w:fldChar w:fldCharType="begin"/>
      </w:r>
      <w:r>
        <w:rPr/>
        <w:instrText> HYPERLINK "mailto:komfin@klgd.ru"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komfin@klgd.ru</w:t>
      </w:r>
      <w:r>
        <w:fldChar w:fldCharType="end"/>
      </w:r>
      <w:r>
        <w:fldChar w:fldCharType="begin"/>
      </w:r>
      <w:r>
        <w:rPr/>
        <w:instrText> HYPERLINK "mailto:cityhall@klgd.ru"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 xml:space="preserve"> cityhall@klgd.ru</w:t>
      </w:r>
      <w:r>
        <w:fldChar w:fldCharType="end"/>
      </w:r>
      <w:r>
        <w:rPr>
          <w:rStyle w:val="CharStyle15"/>
          <w:color w:val="000080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"mailto:omz-kenig@mail.ru"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omz-kenig@mail.ru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8"/>
          <w:b/>
          <w:bCs/>
        </w:rPr>
        <w:t>Заявитель: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ООО «МЕГАБИТ» </w:t>
      </w:r>
      <w:r>
        <w:fldChar w:fldCharType="begin"/>
      </w:r>
      <w:r>
        <w:rPr/>
        <w:instrText> HYPERLINK "mailto:torg@coxo.ru"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torg@coxo.ru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8"/>
          <w:b/>
          <w:bCs/>
        </w:rPr>
        <w:t>Оператор электронной площадки: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ЭТП «Фабрикант»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299" w:bottom="1221" w:left="1135" w:header="0" w:footer="3" w:gutter="0"/>
          <w:pgNumType w:start="1"/>
          <w:cols w:num="2" w:space="106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"mailto:auditors@etpz.ru"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auditors@etpz.ru</w:t>
      </w:r>
      <w:r>
        <w:fldChar w:fldCharType="end"/>
      </w:r>
      <w:r>
        <w:rPr>
          <w:rStyle w:val="CharStyle15"/>
          <w:color w:val="000080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"mailto:auditors@fabrikant.ru"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auditors@fabrikant.ru</w:t>
      </w:r>
      <w:r>
        <w:fldChar w:fldCharType="end"/>
      </w:r>
      <w:r>
        <w:rPr>
          <w:rStyle w:val="CharStyle15"/>
          <w:color w:val="000080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info@fabrikant.ru</w:t>
      </w:r>
      <w:r>
        <w:fldChar w:fldCharType="end"/>
      </w:r>
    </w:p>
    <w:p>
      <w:pPr>
        <w:widowControl w:val="0"/>
        <w:spacing w:line="201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3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rStyle w:val="CharStyle18"/>
          <w:b/>
          <w:bCs/>
        </w:rPr>
        <w:t>РЕШЕНИЕ</w:t>
      </w:r>
      <w:bookmarkEnd w:id="10"/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2" w:name="bookmark12"/>
      <w:r>
        <w:rPr>
          <w:rStyle w:val="CharStyle18"/>
          <w:b/>
          <w:bCs/>
        </w:rPr>
        <w:t>по делу № 039/06/105-1063/2025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6200775</wp:posOffset>
                </wp:positionH>
                <wp:positionV relativeFrom="paragraph">
                  <wp:posOffset>12700</wp:posOffset>
                </wp:positionV>
                <wp:extent cx="100584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8.25pt;margin-top:1.pt;width:79.20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Резолютивная часть объявлена 17.11.2025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5"/>
        </w:rPr>
        <w:t>В полном объеме изготовлено 20.11.2025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Комиссия Управления Федеральной антимонопольной службы по Калининградской области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И.С. Болтенко - заместитель руководителя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У.Н. Богданова - заместитель начальника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В.А. Кувыкина – 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при участии представителей: заказчика - МБУ «Дирекция ландшафтных парков» городского округа «Город Калининград» (далее – Заказчик): Г.О. Аметова (по доверенности); уполномоченного органа - Комитета по финансам администрации городского округа «Город Калининград» (далее — Уполномоченный орган): Е.Е. Трояновой (по доверенности), Т.И. Михалевой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в отсутствие заявителя - ООО «МЕГАБИТ» (далее - Заявитель), явка не обеспечена, извещен надлежащим образом,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rStyle w:val="CharStyle15"/>
        </w:rPr>
        <w:t xml:space="preserve">рассмотрев в дистанционном режиме посредством плагина </w:t>
      </w:r>
      <w:r>
        <w:rPr>
          <w:rStyle w:val="CharStyle15"/>
          <w:lang w:val="en-US" w:eastAsia="en-US"/>
        </w:rPr>
        <w:t xml:space="preserve">«TrueConf» </w:t>
      </w:r>
      <w:r>
        <w:rPr>
          <w:rStyle w:val="CharStyle15"/>
        </w:rPr>
        <w:t>в режиме видеоконференцсвязи жалобу ООО «МЕГАБИТ» (вх. № 8893/25 от 11.11.2025) на действия заказчика - МБУ «Дирекция ландшафтных парков» городского округа «Город Калининград» при осуществлении электронного аукциона, предметом которого является поставка сервера (извещение № 0335300000225000670) (далее – Аукцион), в соответствии с частью 15 статьи 99, частью 8 статьи 106 Федерального закона от 05.04.2013 № 44-ФЗ «О контрактной системе в сфере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rStyle w:val="CharStyle24"/>
        </w:rPr>
        <w:t>IIIIIIIIIIIII1IIIIIIIIII</w:t>
      </w:r>
      <w:bookmarkEnd w:id="1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5"/>
        </w:rPr>
        <w:t xml:space="preserve">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rStyle w:val="CharStyle18"/>
          <w:b/>
          <w:bCs/>
        </w:rPr>
        <w:t>УСТАНОВИЛА:</w:t>
      </w:r>
      <w:bookmarkEnd w:id="1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5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5"/>
          <w:lang w:val="en-US" w:eastAsia="en-US"/>
        </w:rPr>
        <w:t xml:space="preserve">11.11.2025 </w:t>
      </w:r>
      <w:r>
        <w:rPr>
          <w:rStyle w:val="CharStyle15"/>
        </w:rPr>
        <w:t>поступила жалоба Заявителя на действия Заказчика при формировании извещения об осуществлении закупки.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8" w:name="bookmark18"/>
      <w:r>
        <w:rPr>
          <w:rStyle w:val="CharStyle18"/>
          <w:b/>
          <w:bCs/>
        </w:rPr>
        <w:t>В обоснование своей жалобы Заявитель привел следующие доводы</w:t>
      </w:r>
      <w:bookmarkEnd w:id="1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Заявитель полагает, что Заказчиком в описании объекта закупки установлены характеристики товара таким образом, что по совокупности установленных характеристик не подходит ни один товар, в связи с чем не возможно осуществить поставку товара при проведении данной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5"/>
        </w:rPr>
        <w:t>На основании изложенного Заявитель считает, что в действиях Заказчика допущены нарушения Закона о контрактной системе.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0" w:name="bookmark20"/>
      <w:r>
        <w:rPr>
          <w:rStyle w:val="CharStyle18"/>
          <w:b/>
          <w:bCs/>
        </w:rPr>
        <w:t>Заказчиком даны следующие пояснения по сути жалобы Заявителя</w:t>
      </w:r>
      <w:bookmarkEnd w:id="2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Заказчик не согласен с доводами жалобы Заявителя, считает, что описание объекта закупки составлено в соответствие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5"/>
        </w:rPr>
        <w:t>На основании изложенного Заказчик считает жалобу необоснованной.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bookmarkStart w:id="22" w:name="bookmark22"/>
      <w:r>
        <w:rPr>
          <w:rStyle w:val="CharStyle18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8"/>
          <w:b/>
          <w:bCs/>
          <w:lang w:val="en-US" w:eastAsia="en-US"/>
        </w:rPr>
        <w:t xml:space="preserve">15 </w:t>
      </w:r>
      <w:r>
        <w:rPr>
          <w:rStyle w:val="CharStyle18"/>
          <w:b/>
          <w:bCs/>
        </w:rPr>
        <w:t xml:space="preserve">статьи </w:t>
      </w:r>
      <w:r>
        <w:rPr>
          <w:rStyle w:val="CharStyle18"/>
          <w:b/>
          <w:bCs/>
          <w:lang w:val="en-US" w:eastAsia="en-US"/>
        </w:rPr>
        <w:t xml:space="preserve">99 </w:t>
      </w:r>
      <w:r>
        <w:rPr>
          <w:rStyle w:val="CharStyle18"/>
          <w:b/>
          <w:bCs/>
        </w:rPr>
        <w:t>Закона о контрактной системе внеплановой проверки, Комиссия установила следующее</w:t>
      </w:r>
      <w:bookmarkEnd w:id="22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Дата размещения на официальном сайте единой информационной системы в информационно-телекоммуникационной сети «Интернет»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5"/>
          <w:color w:val="000080"/>
          <w:lang w:val="en-US" w:eastAsia="en-US"/>
        </w:rPr>
        <w:t xml:space="preserve">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ЕИС) извещения о проведении электронного аукциона: </w:t>
      </w:r>
      <w:r>
        <w:rPr>
          <w:rStyle w:val="CharStyle15"/>
          <w:lang w:val="en-US" w:eastAsia="en-US"/>
        </w:rPr>
        <w:t>01.11.2025 09:52.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Наименование электронной площадки в информационно-телекоммуникационной сети «Интернет»: ЭТП «Фабрикант».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Номер извещения об осуществлении закупки: </w:t>
      </w:r>
      <w:r>
        <w:rPr>
          <w:rStyle w:val="CharStyle15"/>
          <w:lang w:val="en-US" w:eastAsia="en-US"/>
        </w:rPr>
        <w:t>0335300000225000670.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Наименование объекта закупки: «Поставка сервера».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Начальная (максимальная) цена контракта: </w:t>
      </w:r>
      <w:r>
        <w:rPr>
          <w:rStyle w:val="CharStyle15"/>
          <w:lang w:val="en-US" w:eastAsia="en-US"/>
        </w:rPr>
        <w:t xml:space="preserve">1 182 400,00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Согласно протоколу подведения итогов определения поставщика (подрядчика, исполнителя)</w:t>
      </w:r>
      <w:r>
        <w:fldChar w:fldCharType="begin"/>
      </w:r>
      <w:r>
        <w:rPr/>
        <w:instrText> HYPERLINK "https://zakupki.gov.ru/epz/order/notice/ea20/view/protocol/protocol-main-info.html?regNumber=0335300000225000670&amp;protocolId=50470465" </w:instrText>
      </w:r>
      <w:r>
        <w:fldChar w:fldCharType="separate"/>
      </w:r>
      <w:r>
        <w:rPr>
          <w:rStyle w:val="CharStyle15"/>
        </w:rPr>
        <w:t xml:space="preserve"> от </w:t>
      </w:r>
      <w:r>
        <w:rPr>
          <w:rStyle w:val="CharStyle15"/>
          <w:lang w:val="en-US" w:eastAsia="en-US"/>
        </w:rPr>
        <w:t xml:space="preserve">12.11.2025 № </w:t>
      </w:r>
      <w:r>
        <w:rPr>
          <w:rStyle w:val="CharStyle15"/>
        </w:rPr>
        <w:t>ИЭА1</w:t>
      </w:r>
      <w:r>
        <w:fldChar w:fldCharType="end"/>
      </w:r>
      <w:r>
        <w:rPr>
          <w:rStyle w:val="CharStyle15"/>
        </w:rPr>
        <w:t xml:space="preserve"> на участие в Аукционе поступило три заявки с идентификационным номерами: </w:t>
      </w:r>
      <w:r>
        <w:rPr>
          <w:rStyle w:val="CharStyle15"/>
          <w:lang w:val="en-US" w:eastAsia="en-US"/>
        </w:rPr>
        <w:t xml:space="preserve">2, 3, 4. </w:t>
      </w:r>
      <w:r>
        <w:rPr>
          <w:rStyle w:val="CharStyle15"/>
        </w:rPr>
        <w:t xml:space="preserve">По результатам рассмотрения заявок: заявки с идентификационными номерами </w:t>
      </w:r>
      <w:r>
        <w:rPr>
          <w:rStyle w:val="CharStyle15"/>
          <w:lang w:val="en-US" w:eastAsia="en-US"/>
        </w:rPr>
        <w:t xml:space="preserve">2, 3 </w:t>
      </w:r>
      <w:r>
        <w:rPr>
          <w:rStyle w:val="CharStyle15"/>
        </w:rPr>
        <w:t xml:space="preserve">признаны соответствующими требованиям извещения об осуществлении закупи; заявка с идентификационным номером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отклонена на соновании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контраткной системе. Победителем закупки признан участник с идентификационным номером заявки </w:t>
      </w:r>
      <w:r>
        <w:rPr>
          <w:rStyle w:val="CharStyle15"/>
          <w:lang w:val="en-US" w:eastAsia="en-US"/>
        </w:rPr>
        <w:t xml:space="preserve">2, </w:t>
      </w:r>
      <w:r>
        <w:rPr>
          <w:rStyle w:val="CharStyle15"/>
        </w:rPr>
        <w:t xml:space="preserve">предложение о цене контракта составило </w:t>
      </w:r>
      <w:r>
        <w:rPr>
          <w:rStyle w:val="CharStyle15"/>
          <w:lang w:val="en-US" w:eastAsia="en-US"/>
        </w:rPr>
        <w:t xml:space="preserve">774 472,00 </w:t>
      </w:r>
      <w:r>
        <w:rPr>
          <w:rStyle w:val="CharStyle15"/>
        </w:rPr>
        <w:t xml:space="preserve">рубля, снижение по Аукциону составило </w:t>
      </w:r>
      <w:r>
        <w:rPr>
          <w:rStyle w:val="CharStyle15"/>
          <w:lang w:val="en-US" w:eastAsia="en-US"/>
        </w:rPr>
        <w:t>34,5%.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5"/>
        </w:rPr>
        <w:t xml:space="preserve">Как установлено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Заказчиком описание объекта закупки, с указанием показателей, позволяющих определить соответствие закупаемого товара, представлено в Описании объекта закупки в составе документации о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При изучении документации о закупке установлено, что описание объекта закупки не содержит указания на производителя подлежащего к поставке товара, в описании объекта закупки установлены максимальные и минимальные значения показателей товара, а также показатели, значения которых не могут изменяться, что соответствует требованиям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заседании Комиссии представитель Заказчика пояснил, что описанию объекта закупки соответствуют товары, как минимум двух производителей, что подтверждается анализом рынка, а именно для обоснования начальной (максимальной) цены контракта Заказчиком </w:t>
      </w:r>
      <w:r>
        <w:rPr>
          <w:rStyle w:val="CharStyle15"/>
          <w:lang w:val="en-US" w:eastAsia="en-US"/>
        </w:rPr>
        <w:t xml:space="preserve">30.09.2025 </w:t>
      </w:r>
      <w:r>
        <w:rPr>
          <w:rStyle w:val="CharStyle15"/>
        </w:rPr>
        <w:t>в адрес организаций направлен запрос на предоставление ценовых предложений, с приложением показателей товара, соответствующих описанию объекта закупки, по результатам которого в адрес Заказчика поступили три коммерческих предложения: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ООО «ВЕСТКОМП КОНСАЛТИНГ» (исх. </w:t>
      </w:r>
      <w:r>
        <w:rPr>
          <w:rStyle w:val="CharStyle15"/>
          <w:lang w:val="en-US" w:eastAsia="en-US"/>
        </w:rPr>
        <w:t xml:space="preserve">№ 212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07.10.2025) </w:t>
      </w:r>
      <w:r>
        <w:rPr>
          <w:rStyle w:val="CharStyle15"/>
        </w:rPr>
        <w:t xml:space="preserve">с предложением к поставке товара: «Сервер «Аквариус» Т50 </w:t>
      </w:r>
      <w:r>
        <w:rPr>
          <w:rStyle w:val="CharStyle15"/>
          <w:lang w:val="en-US" w:eastAsia="en-US"/>
        </w:rPr>
        <w:t xml:space="preserve">D108AS </w:t>
      </w:r>
      <w:r>
        <w:rPr>
          <w:rStyle w:val="CharStyle15"/>
        </w:rPr>
        <w:t xml:space="preserve">(АМПР.466539.160)», страна производства Россия, Номер в реестре Минпромторга: </w:t>
      </w:r>
      <w:r>
        <w:rPr>
          <w:rStyle w:val="CharStyle15"/>
          <w:lang w:val="en-US" w:eastAsia="en-US"/>
        </w:rPr>
        <w:t>10511706;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ООО «Балтик Стайл» (исх. </w:t>
      </w:r>
      <w:r>
        <w:rPr>
          <w:rStyle w:val="CharStyle15"/>
          <w:lang w:val="en-US" w:eastAsia="en-US"/>
        </w:rPr>
        <w:t xml:space="preserve">№ 169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15.10.2025) </w:t>
      </w:r>
      <w:r>
        <w:rPr>
          <w:rStyle w:val="CharStyle15"/>
        </w:rPr>
        <w:t>с предложением к поставке товара: «Сервер, Паладин-Х14», страна производства Российская Федерация;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ООО «Си Эс Трэйд» (исх. </w:t>
      </w:r>
      <w:r>
        <w:rPr>
          <w:rStyle w:val="CharStyle15"/>
          <w:lang w:val="en-US" w:eastAsia="en-US"/>
        </w:rPr>
        <w:t xml:space="preserve">№ 01-10-15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15.10.2025) </w:t>
      </w:r>
      <w:r>
        <w:rPr>
          <w:rStyle w:val="CharStyle15"/>
        </w:rPr>
        <w:t xml:space="preserve">с предложением к поставке товара: «Сервер «Аквариус» Т50 </w:t>
      </w:r>
      <w:r>
        <w:rPr>
          <w:rStyle w:val="CharStyle15"/>
          <w:lang w:val="en-US" w:eastAsia="en-US"/>
        </w:rPr>
        <w:t xml:space="preserve">D108AS», </w:t>
      </w:r>
      <w:r>
        <w:rPr>
          <w:rStyle w:val="CharStyle15"/>
        </w:rPr>
        <w:t>страна производства Россия.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Представитель Уполномоченного органа в заседании Комиссии сообщила, что на участие в Аукционе поступило три заявки от участников закупки,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идентификационный номер заявки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(ООО «ТВЕНТИ ФАЙВ») с предложением к поставке товара: «Сервер универсальный </w:t>
      </w:r>
      <w:r>
        <w:rPr>
          <w:rStyle w:val="CharStyle15"/>
          <w:lang w:val="en-US" w:eastAsia="en-US"/>
        </w:rPr>
        <w:t xml:space="preserve">1U </w:t>
      </w:r>
      <w:r>
        <w:rPr>
          <w:rStyle w:val="CharStyle15"/>
        </w:rPr>
        <w:t>«Паландин-Х14», НИКА.466533.313», производитель АО «НОРСИ-ТРАНС», страна производства Российская Федерация, допущена комиссией по осуществлению закупок;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идентификационный номер заявки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(ООО «СТОФ») с предложением к поставке товара: «Сервер </w:t>
      </w:r>
      <w:r>
        <w:rPr>
          <w:rStyle w:val="CharStyle15"/>
          <w:lang w:val="en-US" w:eastAsia="en-US"/>
        </w:rPr>
        <w:t xml:space="preserve">HN-466535.005-02, HomeNet», </w:t>
      </w:r>
      <w:r>
        <w:rPr>
          <w:rStyle w:val="CharStyle15"/>
        </w:rPr>
        <w:t>производитель: ООО «МЕГАПОЛИС-ТЕЛЕКОМ РЕГИОН», страна производства Российская Федерация, допущена комиссией по осуществлению закупок;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идентификационный номер заявки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(ООО «СОЛИНГ») с предложением к поставке товара: «Сервер марки </w:t>
      </w:r>
      <w:r>
        <w:rPr>
          <w:rStyle w:val="CharStyle15"/>
          <w:lang w:val="en-US" w:eastAsia="en-US"/>
        </w:rPr>
        <w:t xml:space="preserve">UNIVIRSAL», </w:t>
      </w:r>
      <w:r>
        <w:rPr>
          <w:rStyle w:val="CharStyle15"/>
        </w:rPr>
        <w:t xml:space="preserve">производитель: ООО «КМ инженерные системы», страна производства Российская Федерация, отклонена комиссией по осуществлению закупок на основании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 заседании Комиссии представитель Заказчика наглядно продемонстрировал спорную часть сервера, которая соответствует описанию объекта закупки.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установлено, что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Заявитель в своей жалобе указывает на то, что невозможно поставить товар соответствующий описанию объекта закупки, при этом в подтверждение своих доводов Заявителем не представлено соответствующих документов.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Вместе с тем, Заказчиком, Уполномоченным органом, представлены информация и документы, с приложением подтверждающих документов, согласно которым описанию обеъекта закупки соответствуют товары, как минимум трех производителей. При этом, потенциальные участники закупки, а аткже участники данной закупки, готовы поставить товар разных производителей с показателями, соответствующими описанию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На основании изложенного, изучив представленные документы и информацию, Комиссия установила, что Заявителем не представлено доказательств, подтверждающих обоснованность доводов жалобы, а также свидетельствующих о нарушении Заказчиком норм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Таким образом, описание объекта закупки не противоречит Закону о контрактной системе, и не повлекло ограничение доступа к участию в торгах потенциальных поставщиков.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15"/>
        </w:rPr>
        <w:t>На основании изложенного, доводы Заявителя являются необоснованными.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 что все доказательства, которые они намеревались представить, имеются в распоряжении Комиссии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 xml:space="preserve">В связи с изложенным, руководствуясь частями </w:t>
      </w:r>
      <w:r>
        <w:rPr>
          <w:rStyle w:val="CharStyle15"/>
          <w:lang w:val="en-US" w:eastAsia="en-US"/>
        </w:rPr>
        <w:t xml:space="preserve">1, 4, 7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4" w:name="bookmark24"/>
      <w:r>
        <w:rPr>
          <w:rStyle w:val="CharStyle18"/>
          <w:b/>
          <w:bCs/>
        </w:rPr>
        <w:t>РЕШИЛА:</w:t>
      </w:r>
      <w:bookmarkEnd w:id="2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</w:rPr>
        <w:t>Жалобу ООО «МЕГАБИТ» признать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3" w:right="403" w:bottom="1197" w:left="97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71475" distL="0" distR="0" simplePos="0" relativeHeight="125829380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101600</wp:posOffset>
                </wp:positionV>
                <wp:extent cx="1569720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350000000000001pt;margin-top:8.pt;width:123.60000000000001pt;height:17.050000000000001pt;z-index:-125829373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9385" distB="0" distL="0" distR="1786255" simplePos="0" relativeHeight="125829382" behindDoc="0" locked="0" layoutInCell="1" allowOverlap="1">
            <wp:simplePos x="0" y="0"/>
            <wp:positionH relativeFrom="page">
              <wp:posOffset>2636520</wp:posOffset>
            </wp:positionH>
            <wp:positionV relativeFrom="paragraph">
              <wp:posOffset>159385</wp:posOffset>
            </wp:positionV>
            <wp:extent cx="365760" cy="53022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3105785</wp:posOffset>
                </wp:positionH>
                <wp:positionV relativeFrom="paragraph">
                  <wp:posOffset>574040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4.55000000000001pt;margin-top:45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3066415</wp:posOffset>
                </wp:positionH>
                <wp:positionV relativeFrom="paragraph">
                  <wp:posOffset>257175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1.45000000000002pt;margin-top:20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71475" distL="0" distR="0" simplePos="0" relativeHeight="125829383" behindDoc="0" locked="0" layoutInCell="1" allowOverlap="1">
                <wp:simplePos x="0" y="0"/>
                <wp:positionH relativeFrom="page">
                  <wp:posOffset>6223635</wp:posOffset>
                </wp:positionH>
                <wp:positionV relativeFrom="paragraph">
                  <wp:posOffset>101600</wp:posOffset>
                </wp:positionV>
                <wp:extent cx="95123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0.05000000000001pt;margin-top:8.pt;width:74.900000000000006pt;height:17.050000000000001pt;z-index:-125829370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Болтенко Ирина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color w:val="5D5D5D"/>
        </w:rPr>
        <w:t>008В</w:t>
      </w:r>
      <w:r>
        <w:rPr>
          <w:rStyle w:val="CharStyle27"/>
          <w:color w:val="292929"/>
        </w:rPr>
        <w:t>1</w:t>
      </w:r>
      <w:r>
        <w:rPr>
          <w:rStyle w:val="CharStyle27"/>
          <w:lang w:val="en-US" w:eastAsia="en-US"/>
        </w:rPr>
        <w:t>E7CFCF6B0EBAD79E94A6AF4AA9F9</w:t>
      </w:r>
      <w:r>
        <w:rPr>
          <w:rStyle w:val="CharStyle27"/>
          <w:lang w:val="en-US" w:eastAsia="en-US"/>
        </w:rPr>
        <w:t>'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7"/>
        </w:rPr>
        <w:t xml:space="preserve">Действителен с 17.10.2024 </w:t>
      </w:r>
      <w:r>
        <w:rPr>
          <w:rStyle w:val="CharStyle27"/>
          <w:color w:val="5D5D5D"/>
        </w:rPr>
        <w:t xml:space="preserve">по </w:t>
      </w:r>
      <w:r>
        <w:rPr>
          <w:rStyle w:val="CharStyle27"/>
        </w:rPr>
        <w:t>10.01.2026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18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paragraph">
                  <wp:posOffset>228600</wp:posOffset>
                </wp:positionV>
                <wp:extent cx="996950" cy="21653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У.Н. Богданова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6.75pt;margin-top:18.pt;width:78.5pt;height:17.0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У.Н. Богданова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Члены комиссии: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860" w:right="0" w:firstLine="0"/>
        <w:jc w:val="left"/>
      </w:pPr>
      <w:r>
        <w:rPr>
          <w:rStyle w:val="CharStyle3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920" w:right="0" w:firstLine="0"/>
        <w:jc w:val="left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Богданова Ульяна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572B40FCC26CD8BCD77EE78F53838BA5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7"/>
        </w:rPr>
        <w:t xml:space="preserve">Действителен с 13.11.2024 </w:t>
      </w:r>
      <w:r>
        <w:rPr>
          <w:rStyle w:val="CharStyle27"/>
          <w:color w:val="5D5D5D"/>
        </w:rPr>
        <w:t xml:space="preserve">по </w:t>
      </w:r>
      <w:r>
        <w:rPr>
          <w:rStyle w:val="CharStyle27"/>
        </w:rPr>
        <w:t>06.02.2026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20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2676525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3066415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45000000000002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В.А. Кувыкина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920" w:right="0" w:firstLine="0"/>
        <w:jc w:val="left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Кувыкина Виктория Анатольевна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008DACB8DFE6A0C855D057DF216EAB9B4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7"/>
        </w:rPr>
        <w:t xml:space="preserve">Действителен с 13.10.2025 </w:t>
      </w:r>
      <w:r>
        <w:rPr>
          <w:rStyle w:val="CharStyle27"/>
          <w:color w:val="5D5D5D"/>
        </w:rPr>
        <w:t xml:space="preserve">по </w:t>
      </w:r>
      <w:r>
        <w:rPr>
          <w:rStyle w:val="CharStyle27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388" w:bottom="1110" w:left="9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9996805</wp:posOffset>
              </wp:positionV>
              <wp:extent cx="327660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660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2025-6745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7.14999999999998pt;width:258.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2025-6745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4643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2025-6745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0.8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2025-6745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Heading #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Heading #3"/>
    <w:basedOn w:val="Normal"/>
    <w:link w:val="CharStyle18"/>
    <w:pPr>
      <w:widowControl w:val="0"/>
      <w:shd w:val="clear" w:color="auto" w:fill="auto"/>
      <w:spacing w:after="24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  <w:spacing w:after="100"/>
      <w:ind w:left="38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