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5"/>
        <w:keepNext w:val="0"/>
        <w:keepLines w:val="0"/>
        <w:widowControl w:val="0"/>
        <w:shd w:val="clear" w:color="auto" w:fill="auto"/>
        <w:bidi w:val="0"/>
        <w:spacing w:before="0"/>
        <w:ind w:left="0" w:right="0" w:firstLine="0"/>
        <w:jc w:val="center"/>
        <w:rPr>
          <w:sz w:val="17"/>
          <w:szCs w:val="17"/>
        </w:rPr>
      </w:pPr>
      <w:r>
        <w:rPr>
          <w:rStyle w:val="CharStyle6"/>
          <w:b/>
          <w:bCs/>
          <w:sz w:val="17"/>
          <w:szCs w:val="17"/>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after="440"/>
        <w:ind w:left="0" w:right="0" w:firstLine="0"/>
        <w:jc w:val="center"/>
      </w:pPr>
      <w:r>
        <w:rPr>
          <w:rStyle w:val="CharStyle6"/>
        </w:rPr>
        <w:t>пр. Мира, 81 д, г. Красноярск, 660017</w:t>
        <w:br/>
        <w:t>тел. (391) 211-00-00, факс (391) 211-01-14</w:t>
        <w:br/>
      </w:r>
      <w:r>
        <w:rPr>
          <w:rStyle w:val="CharStyle6"/>
          <w:lang w:val="en-US" w:eastAsia="en-US"/>
        </w:rPr>
        <w:t xml:space="preserve">e-mail: </w:t>
      </w:r>
      <w:r>
        <w:fldChar w:fldCharType="begin"/>
      </w:r>
      <w:r>
        <w:rPr/>
        <w:instrText> HYPERLINK "mailto:to24@fas.gov.ru" </w:instrText>
      </w:r>
      <w:r>
        <w:fldChar w:fldCharType="separate"/>
      </w:r>
      <w:r>
        <w:rPr>
          <w:rStyle w:val="CharStyle6"/>
          <w:lang w:val="en-US" w:eastAsia="en-US"/>
        </w:rPr>
        <w:t>to24@fas.gov.ru</w:t>
      </w:r>
      <w:r>
        <w:fldChar w:fldCharType="end"/>
      </w:r>
    </w:p>
    <w:p>
      <w:pPr>
        <w:pStyle w:val="Style8"/>
        <w:keepNext w:val="0"/>
        <w:keepLines w:val="0"/>
        <w:widowControl w:val="0"/>
        <w:shd w:val="clear" w:color="auto" w:fill="auto"/>
        <w:tabs>
          <w:tab w:leader="underscore" w:pos="1766" w:val="left"/>
          <w:tab w:leader="underscore" w:pos="3926" w:val="left"/>
        </w:tabs>
        <w:bidi w:val="0"/>
        <w:spacing w:before="0"/>
        <w:ind w:left="0" w:right="0" w:firstLine="0"/>
        <w:jc w:val="both"/>
      </w:pPr>
      <w:r>
        <w:rPr>
          <w:rStyle w:val="CharStyle9"/>
        </w:rPr>
        <w:tab/>
        <w:t xml:space="preserve"> №</w:t>
        <w:tab/>
      </w:r>
    </w:p>
    <w:p>
      <w:pPr>
        <w:pStyle w:val="Style10"/>
        <w:keepNext w:val="0"/>
        <w:keepLines w:val="0"/>
        <w:widowControl w:val="0"/>
        <w:shd w:val="clear" w:color="auto" w:fill="auto"/>
        <w:bidi w:val="0"/>
        <w:spacing w:before="0" w:after="0"/>
        <w:ind w:left="0" w:right="0" w:firstLine="0"/>
        <w:jc w:val="left"/>
      </w:pPr>
      <w:r>
        <w:rPr>
          <w:rStyle w:val="CharStyle11"/>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2"/>
        <w:keepNext w:val="0"/>
        <w:keepLines w:val="0"/>
        <w:widowControl w:val="0"/>
        <w:shd w:val="clear" w:color="auto" w:fill="auto"/>
        <w:bidi w:val="0"/>
        <w:spacing w:before="0" w:after="0" w:line="240" w:lineRule="auto"/>
        <w:ind w:left="0" w:right="0" w:firstLine="0"/>
        <w:jc w:val="left"/>
      </w:pPr>
      <w:r>
        <w:rPr>
          <w:rStyle w:val="CharStyle13"/>
        </w:rPr>
        <w:t>ООО «КрасМедСервис»</w:t>
      </w:r>
    </w:p>
    <w:p>
      <w:pPr>
        <w:pStyle w:val="Style12"/>
        <w:keepNext w:val="0"/>
        <w:keepLines w:val="0"/>
        <w:widowControl w:val="0"/>
        <w:shd w:val="clear" w:color="auto" w:fill="auto"/>
        <w:bidi w:val="0"/>
        <w:spacing w:before="0" w:after="260" w:line="240" w:lineRule="auto"/>
        <w:ind w:left="0" w:right="0" w:firstLine="0"/>
        <w:jc w:val="left"/>
      </w:pPr>
      <w:r>
        <w:rPr>
          <w:rStyle w:val="CharStyle13"/>
        </w:rPr>
        <w:t xml:space="preserve">Северное шоссе, зд. 11 И, пом. 3, ком. 4, г Красноярск, Красноярский край, 660118 </w:t>
      </w:r>
      <w:r>
        <w:fldChar w:fldCharType="begin"/>
      </w:r>
      <w:r>
        <w:rPr/>
        <w:instrText> HYPERLINK "mailto:ooo.kms13@mail.ru" </w:instrText>
      </w:r>
      <w:r>
        <w:fldChar w:fldCharType="separate"/>
      </w:r>
      <w:r>
        <w:rPr>
          <w:rStyle w:val="CharStyle13"/>
          <w:lang w:val="en-US" w:eastAsia="en-US"/>
        </w:rPr>
        <w:t>ooo.kms13@mail.ru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КГБУЗ «Шушенская районная больница» ул. Первомайская, зд. 54, пгт Шушенское, Шушенский район,</w:t>
      </w:r>
    </w:p>
    <w:p>
      <w:pPr>
        <w:pStyle w:val="Style12"/>
        <w:keepNext w:val="0"/>
        <w:keepLines w:val="0"/>
        <w:widowControl w:val="0"/>
        <w:shd w:val="clear" w:color="auto" w:fill="auto"/>
        <w:bidi w:val="0"/>
        <w:spacing w:before="0" w:after="260" w:line="240" w:lineRule="auto"/>
        <w:ind w:left="0" w:right="0" w:firstLine="0"/>
        <w:jc w:val="left"/>
      </w:pPr>
      <w:r>
        <w:rPr>
          <w:rStyle w:val="CharStyle13"/>
        </w:rPr>
        <w:t xml:space="preserve">Красноярский край, 662712 </w:t>
      </w:r>
      <w:r>
        <w:fldChar w:fldCharType="begin"/>
      </w:r>
      <w:r>
        <w:rPr/>
        <w:instrText> HYPERLINK "mailto:shushcrb@mail.ru" </w:instrText>
      </w:r>
      <w:r>
        <w:fldChar w:fldCharType="separate"/>
      </w:r>
      <w:r>
        <w:rPr>
          <w:rStyle w:val="CharStyle13"/>
          <w:lang w:val="en-US" w:eastAsia="en-US"/>
        </w:rPr>
        <w:t>shushcrb@mail.ru</w:t>
      </w:r>
      <w:r>
        <w:fldChar w:fldCharType="end"/>
      </w:r>
      <w:r>
        <w:rPr>
          <w:rStyle w:val="CharStyle13"/>
          <w:lang w:val="en-US" w:eastAsia="en-US"/>
        </w:rPr>
        <w:t xml:space="preserve">, </w:t>
      </w:r>
      <w:r>
        <w:fldChar w:fldCharType="begin"/>
      </w:r>
      <w:r>
        <w:rPr/>
        <w:instrText> HYPERLINK "mailto:mamaeva-es@mail.ru" </w:instrText>
      </w:r>
      <w:r>
        <w:fldChar w:fldCharType="separate"/>
      </w:r>
      <w:r>
        <w:rPr>
          <w:rStyle w:val="CharStyle13"/>
          <w:lang w:val="en-US" w:eastAsia="en-US"/>
        </w:rPr>
        <w:t>mamaeva-es@mail.ru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Агентство государственного заказа Красноярского края</w:t>
      </w:r>
    </w:p>
    <w:p>
      <w:pPr>
        <w:pStyle w:val="Style12"/>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79" w:right="968" w:bottom="1313" w:left="1135" w:header="0" w:footer="3" w:gutter="0"/>
          <w:pgNumType w:start="1"/>
          <w:cols w:num="2" w:space="720" w:equalWidth="0">
            <w:col w:w="4099" w:space="1171"/>
            <w:col w:w="4526"/>
          </w:cols>
          <w:noEndnote/>
          <w:titlePg/>
          <w:rtlGutter w:val="0"/>
          <w:docGrid w:linePitch="360"/>
        </w:sectPr>
      </w:pPr>
      <w:r>
        <w:rPr>
          <w:rStyle w:val="CharStyle13"/>
        </w:rPr>
        <w:t xml:space="preserve">пр. Мира, д. 10, оф. 53, г. Красноярск, Красноярский край, 660049 </w:t>
      </w:r>
      <w:r>
        <w:fldChar w:fldCharType="begin"/>
      </w:r>
      <w:r>
        <w:rPr/>
        <w:instrText> HYPERLINK "mailto:agz_priem@mail.ru" </w:instrText>
      </w:r>
      <w:r>
        <w:fldChar w:fldCharType="separate"/>
      </w:r>
      <w:r>
        <w:rPr>
          <w:rStyle w:val="CharStyle13"/>
          <w:lang w:val="en-US" w:eastAsia="en-US"/>
        </w:rPr>
        <w:t>agz_priem@mail.ru</w:t>
      </w:r>
      <w:r>
        <w:fldChar w:fldCharType="end"/>
      </w:r>
      <w:r>
        <w:rPr>
          <w:rStyle w:val="CharStyle13"/>
          <w:lang w:val="en-US" w:eastAsia="en-US"/>
        </w:rPr>
        <w:t xml:space="preserve">, </w:t>
      </w:r>
      <w:r>
        <w:fldChar w:fldCharType="begin"/>
      </w:r>
      <w:r>
        <w:rPr/>
        <w:instrText> HYPERLINK "mailto:agz_baulina@mail.ru" </w:instrText>
      </w:r>
      <w:r>
        <w:fldChar w:fldCharType="separate"/>
      </w:r>
      <w:r>
        <w:rPr>
          <w:rStyle w:val="CharStyle13"/>
          <w:lang w:val="en-US" w:eastAsia="en-US"/>
        </w:rPr>
        <w:t>agz_baulina@mail.ru</w:t>
      </w:r>
      <w:r>
        <w:fldChar w:fldCharType="end"/>
      </w:r>
    </w:p>
    <w:p>
      <w:pPr>
        <w:widowControl w:val="0"/>
        <w:spacing w:line="162" w:lineRule="exact"/>
        <w:rPr>
          <w:sz w:val="13"/>
          <w:szCs w:val="13"/>
        </w:rPr>
      </w:pPr>
    </w:p>
    <w:p>
      <w:pPr>
        <w:widowControl w:val="0"/>
        <w:spacing w:line="1" w:lineRule="exact"/>
        <w:sectPr>
          <w:footnotePr>
            <w:pos w:val="pageBottom"/>
            <w:numFmt w:val="decimal"/>
            <w:numRestart w:val="continuous"/>
          </w:footnotePr>
          <w:type w:val="continuous"/>
          <w:pgSz w:w="11900" w:h="16840"/>
          <w:pgMar w:top="574" w:right="0" w:bottom="1218" w:left="0" w:header="0" w:footer="3" w:gutter="0"/>
          <w:cols w:space="720"/>
          <w:noEndnote/>
          <w:rtlGutter w:val="0"/>
          <w:docGrid w:linePitch="360"/>
        </w:sectPr>
      </w:pPr>
    </w:p>
    <w:p>
      <w:pPr>
        <w:pStyle w:val="Style12"/>
        <w:keepNext w:val="0"/>
        <w:keepLines w:val="0"/>
        <w:widowControl w:val="0"/>
        <w:shd w:val="clear" w:color="auto" w:fill="auto"/>
        <w:bidi w:val="0"/>
        <w:spacing w:before="0" w:after="240" w:line="240" w:lineRule="auto"/>
        <w:ind w:left="0" w:right="0" w:firstLine="0"/>
        <w:jc w:val="center"/>
      </w:pPr>
      <w:r>
        <w:rPr>
          <w:rStyle w:val="CharStyle13"/>
        </w:rPr>
        <w:t>Решение по делу № 024/06/106-3546/2025</w:t>
      </w:r>
    </w:p>
    <w:p>
      <w:pPr>
        <w:pStyle w:val="Style12"/>
        <w:keepNext w:val="0"/>
        <w:keepLines w:val="0"/>
        <w:widowControl w:val="0"/>
        <w:shd w:val="clear" w:color="auto" w:fill="auto"/>
        <w:bidi w:val="0"/>
        <w:spacing w:before="0" w:after="240" w:line="240" w:lineRule="auto"/>
        <w:ind w:left="0" w:right="0" w:firstLine="0"/>
        <w:jc w:val="both"/>
      </w:pPr>
      <w:r>
        <w:rPr>
          <w:rStyle w:val="CharStyle13"/>
        </w:rPr>
        <w:t>26 ноября 2025 года г. Красноярск</w:t>
      </w:r>
    </w:p>
    <w:p>
      <w:pPr>
        <w:pStyle w:val="Style12"/>
        <w:keepNext w:val="0"/>
        <w:keepLines w:val="0"/>
        <w:widowControl w:val="0"/>
        <w:shd w:val="clear" w:color="auto" w:fill="auto"/>
        <w:bidi w:val="0"/>
        <w:spacing w:before="0" w:after="0" w:line="240" w:lineRule="auto"/>
        <w:ind w:left="0" w:right="0" w:firstLine="760"/>
        <w:jc w:val="both"/>
      </w:pPr>
      <w:r>
        <w:rPr>
          <w:rStyle w:val="CharStyle13"/>
        </w:rPr>
        <w:t>Комиссия Красноярского УФАС России по контролю в сфере закупок в составе: Председатель Комиссии – М.А. Дударева, заместитель руководителя; члены Комиссии: М.А. Грицай, начальник отдела; Д.Н. Пелевина, ведущий специалист-эксперт (далее – Комиссия), рассмотрев жалобу ООО «КрасМедСервис» (далее – Податель жалобы) на действия аукционной комиссии заказчика – КГБУЗ «Шушенская районная больница» (далее – Заказчик), уполномоченного органа – Агентства государственного заказа Красноярского края (далее — Уполномоченный орган) при проведении электронного аукциона ЭА-№-23151/25 «Приобретение медицинского оборудования (Система эндоскопической визуализации (Эндоскопическая консоль или стойка с оборудованием и принадлежностями для эндовидеохирургии)) для нужд КГБУЗ «Шушенская РБ»» (далее – Электронный аукцион), извещение № 0119200000125022412, ИКЗ 252244200338624420100101870022660244 на электронной торговой площадке «ЭТП ТЭК-Торг» (далее – Оператор электронной площадки), установила следующее.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Существо жалобы: нарушение аукционной комиссией порядка рассмотрения заявок на участие в закупке, предусмотренного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Жалоба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12"/>
        <w:keepNext w:val="0"/>
        <w:keepLines w:val="0"/>
        <w:widowControl w:val="0"/>
        <w:shd w:val="clear" w:color="auto" w:fill="auto"/>
        <w:bidi w:val="0"/>
        <w:spacing w:before="0" w:after="0" w:line="240" w:lineRule="auto"/>
        <w:ind w:left="0" w:right="0" w:firstLine="760"/>
        <w:jc w:val="both"/>
      </w:pPr>
      <w:r>
        <w:rPr>
          <w:rStyle w:val="CharStyle13"/>
        </w:rPr>
        <w:t>В адреса Подателя жалобы, Заказчика, Уполномоченного органа, Оператора электронной площадки было направлено уведомление о содержании жалобы с информацией о месте и времени ее рассмотрения (далее — Уведомление).</w:t>
      </w:r>
    </w:p>
    <w:p>
      <w:pPr>
        <w:pStyle w:val="Style12"/>
        <w:keepNext w:val="0"/>
        <w:keepLines w:val="0"/>
        <w:widowControl w:val="0"/>
        <w:shd w:val="clear" w:color="auto" w:fill="auto"/>
        <w:bidi w:val="0"/>
        <w:spacing w:before="0" w:after="240" w:line="240" w:lineRule="auto"/>
        <w:ind w:left="0" w:right="0" w:firstLine="760"/>
        <w:jc w:val="both"/>
      </w:pPr>
      <w:r>
        <w:rPr>
          <w:rStyle w:val="CharStyle13"/>
        </w:rPr>
        <w:t>Заказчику, Уполномоченному органу, Оператору электронной площадки было предложено предоставить в адрес Красноярского УФАС России документы и сведения,</w:t>
      </w:r>
    </w:p>
    <w:p>
      <w:pPr>
        <w:widowControl w:val="0"/>
        <w:spacing w:line="1" w:lineRule="exact"/>
      </w:pPr>
      <w:r>
        <w:drawing>
          <wp:anchor distT="152400" distB="0" distL="0" distR="0" simplePos="0" relativeHeight="125829378" behindDoc="0" locked="0" layoutInCell="1" allowOverlap="1">
            <wp:simplePos x="0" y="0"/>
            <wp:positionH relativeFrom="page">
              <wp:posOffset>717550</wp:posOffset>
            </wp:positionH>
            <wp:positionV relativeFrom="paragraph">
              <wp:posOffset>152400</wp:posOffset>
            </wp:positionV>
            <wp:extent cx="1511935"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1"/>
                    <a:stretch/>
                  </pic:blipFill>
                  <pic:spPr>
                    <a:xfrm>
                      <a:ext cx="1511935" cy="292735"/>
                    </a:xfrm>
                    <a:prstGeom prst="rect"/>
                  </pic:spPr>
                </pic:pic>
              </a:graphicData>
            </a:graphic>
          </wp:anchor>
        </w:drawing>
      </w:r>
    </w:p>
    <w:p>
      <w:pPr>
        <w:pStyle w:val="Style12"/>
        <w:keepNext w:val="0"/>
        <w:keepLines w:val="0"/>
        <w:widowControl w:val="0"/>
        <w:shd w:val="clear" w:color="auto" w:fill="auto"/>
        <w:bidi w:val="0"/>
        <w:spacing w:before="0" w:after="0" w:line="240" w:lineRule="auto"/>
        <w:ind w:left="0" w:right="0" w:firstLine="0"/>
        <w:jc w:val="both"/>
      </w:pPr>
      <w:r>
        <w:rPr>
          <w:rStyle w:val="CharStyle13"/>
        </w:rPr>
        <w:t>необходимые для рассмотрения жалобы по существу.</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Перед началом заседания в адрес Комиссии поступило ходатайство от Заказчика об участии в рассмотрении жалобы путем видео-конференц-связи. Ходатайство было рассмотрено и удовлетворено.</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На заседании Комиссии </w:t>
      </w:r>
      <w:r>
        <w:rPr>
          <w:rStyle w:val="CharStyle13"/>
          <w:lang w:val="en-US" w:eastAsia="en-US"/>
        </w:rPr>
        <w:t xml:space="preserve">26.11.2025 </w:t>
      </w:r>
      <w:r>
        <w:rPr>
          <w:rStyle w:val="CharStyle13"/>
        </w:rPr>
        <w:t xml:space="preserve">в </w:t>
      </w:r>
      <w:r>
        <w:rPr>
          <w:rStyle w:val="CharStyle13"/>
          <w:lang w:val="en-US" w:eastAsia="en-US"/>
        </w:rPr>
        <w:t xml:space="preserve">15 </w:t>
      </w:r>
      <w:r>
        <w:rPr>
          <w:rStyle w:val="CharStyle13"/>
        </w:rPr>
        <w:t xml:space="preserve">часов </w:t>
      </w:r>
      <w:r>
        <w:rPr>
          <w:rStyle w:val="CharStyle13"/>
          <w:lang w:val="en-US" w:eastAsia="en-US"/>
        </w:rPr>
        <w:t xml:space="preserve">00 </w:t>
      </w:r>
      <w:r>
        <w:rPr>
          <w:rStyle w:val="CharStyle13"/>
        </w:rPr>
        <w:t>минут по рассмотрению жалобы по существу лично присутствовал представители Подателя жалобы, Заказчика и Уполномоченного органа, надлежащим образом подтвердившие свою личность и полномочия.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Комиссия в связи с поступлением настоящей жалобы также провела внеплановую проверку соблюдения законодательства о контрактной системе при проведении рассматриваемой закупки.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Из доводов жалобы следует, что, по мнению Подателя жалобы, отклонение заявки по пункту </w:t>
      </w:r>
      <w:r>
        <w:rPr>
          <w:rStyle w:val="CharStyle13"/>
          <w:lang w:val="en-US" w:eastAsia="en-US"/>
        </w:rPr>
        <w:t xml:space="preserve">1 </w:t>
      </w:r>
      <w:r>
        <w:rPr>
          <w:rStyle w:val="CharStyle13"/>
        </w:rPr>
        <w:t xml:space="preserve">части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Закона о контрактной системе является необоснованным.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В ответ на доводы жалобы Уполномоченным органом направлены письменные возражения, подкрепленные соответствующими документальными доказательствами, из содержания которых следует, что решение об отклонении заявки Подателя жалобы соответствует требованиям Закона о контрактной системе и является обоснованным.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w:t>
      </w:r>
      <w:r>
        <w:rPr>
          <w:rStyle w:val="CharStyle13"/>
          <w:lang w:val="en-US" w:eastAsia="en-US"/>
        </w:rPr>
        <w:t xml:space="preserve">– </w:t>
      </w:r>
      <w:r>
        <w:rPr>
          <w:rStyle w:val="CharStyle13"/>
        </w:rPr>
        <w:t>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В связи с возникшей потребностью у Заказчика Уполномоченным органом были совершены действия по проведению электронного аукциона.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Извещение и документация о проведении электронного аукциона на право заключения контракта на приобретение медицинского оборудования размещены </w:t>
      </w:r>
      <w:r>
        <w:rPr>
          <w:rStyle w:val="CharStyle13"/>
          <w:lang w:val="en-US" w:eastAsia="en-US"/>
        </w:rPr>
        <w:t xml:space="preserve">10.11.2025 </w:t>
      </w:r>
      <w:r>
        <w:rPr>
          <w:rStyle w:val="CharStyle13"/>
        </w:rPr>
        <w:t>в ЕИС.</w:t>
      </w:r>
    </w:p>
    <w:p>
      <w:pPr>
        <w:pStyle w:val="Style12"/>
        <w:keepNext w:val="0"/>
        <w:keepLines w:val="0"/>
        <w:widowControl w:val="0"/>
        <w:shd w:val="clear" w:color="auto" w:fill="auto"/>
        <w:bidi w:val="0"/>
        <w:spacing w:before="0" w:after="0" w:line="240" w:lineRule="auto"/>
        <w:ind w:left="0" w:right="0" w:firstLine="760"/>
        <w:jc w:val="both"/>
      </w:pPr>
      <w:r>
        <w:rPr>
          <w:rStyle w:val="CharStyle13"/>
        </w:rPr>
        <w:t>Объектом спорной закупки является «Приобретение медицинского оборудования (Система эндоскопической визуализации (Эндоскопическая консоль или стойка с оборудованием и принадлежностями для эндовидеохирургии)) для нужд КГБУЗ «Шушенская РБ»».</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силу пункта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контракта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настоящего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частью </w:t>
      </w:r>
      <w:r>
        <w:rPr>
          <w:rStyle w:val="CharStyle13"/>
          <w:lang w:val="en-US" w:eastAsia="en-US"/>
        </w:rPr>
        <w:t xml:space="preserve">1 </w:t>
      </w:r>
      <w:r>
        <w:rPr>
          <w:rStyle w:val="CharStyle13"/>
        </w:rPr>
        <w:t xml:space="preserve">статьи </w:t>
      </w:r>
      <w:r>
        <w:rPr>
          <w:rStyle w:val="CharStyle13"/>
          <w:lang w:val="en-US" w:eastAsia="en-US"/>
        </w:rPr>
        <w:t xml:space="preserve">23 </w:t>
      </w:r>
      <w:r>
        <w:rPr>
          <w:rStyle w:val="CharStyle13"/>
        </w:rPr>
        <w:t>Закона о контрактной системе, Правительством РФ утверждены правила формирования и ведения в ЕИС каталога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5 </w:t>
      </w:r>
      <w:r>
        <w:rPr>
          <w:rStyle w:val="CharStyle13"/>
        </w:rPr>
        <w:t xml:space="preserve">статьи </w:t>
      </w:r>
      <w:r>
        <w:rPr>
          <w:rStyle w:val="CharStyle13"/>
          <w:lang w:val="en-US" w:eastAsia="en-US"/>
        </w:rPr>
        <w:t xml:space="preserve">23 </w:t>
      </w:r>
      <w:r>
        <w:rPr>
          <w:rStyle w:val="CharStyle13"/>
        </w:rPr>
        <w:t>Закона о контракта системе формирование и ведение в ЕИС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Закона о контракта системе порядок формирования и ведения в ЕИС каталога товаров, работ, услуг для обеспечения государственных и</w:t>
      </w:r>
    </w:p>
    <w:p>
      <w:pPr>
        <w:pStyle w:val="Style12"/>
        <w:keepNext w:val="0"/>
        <w:keepLines w:val="0"/>
        <w:widowControl w:val="0"/>
        <w:shd w:val="clear" w:color="auto" w:fill="auto"/>
        <w:bidi w:val="0"/>
        <w:spacing w:before="0" w:after="0" w:line="240" w:lineRule="auto"/>
        <w:ind w:left="0" w:right="0" w:firstLine="0"/>
        <w:jc w:val="both"/>
      </w:pPr>
      <w:r>
        <w:rPr>
          <w:rStyle w:val="CharStyle13"/>
        </w:rPr>
        <w:t>муниципальных нужд, а также правила использования указанного каталога устанавливаются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Постановлением Правительства РФ от </w:t>
      </w:r>
      <w:r>
        <w:rPr>
          <w:rStyle w:val="CharStyle13"/>
          <w:lang w:val="en-US" w:eastAsia="en-US"/>
        </w:rPr>
        <w:t xml:space="preserve">08.02.2017 № 145 </w:t>
      </w:r>
      <w:r>
        <w:rPr>
          <w:rStyle w:val="CharStyle13"/>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 xml:space="preserve">Правила использования каталога </w:t>
      </w:r>
      <w:r>
        <w:rPr>
          <w:rStyle w:val="CharStyle13"/>
          <w:lang w:val="en-US" w:eastAsia="en-US"/>
        </w:rPr>
        <w:t xml:space="preserve">№ 145) </w:t>
      </w:r>
      <w:r>
        <w:rPr>
          <w:rStyle w:val="CharStyle13"/>
        </w:rPr>
        <w:t>утверждены правила использования каталога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пункту </w:t>
      </w:r>
      <w:r>
        <w:rPr>
          <w:rStyle w:val="CharStyle13"/>
          <w:lang w:val="en-US" w:eastAsia="en-US"/>
        </w:rPr>
        <w:t xml:space="preserve">4 </w:t>
      </w:r>
      <w:r>
        <w:rPr>
          <w:rStyle w:val="CharStyle13"/>
        </w:rPr>
        <w:t xml:space="preserve">Правил использования каталога </w:t>
      </w:r>
      <w:r>
        <w:rPr>
          <w:rStyle w:val="CharStyle13"/>
          <w:lang w:val="en-US" w:eastAsia="en-US"/>
        </w:rPr>
        <w:t xml:space="preserve">№ 145, </w:t>
      </w:r>
      <w:r>
        <w:rPr>
          <w:rStyle w:val="CharStyle13"/>
        </w:rPr>
        <w:t xml:space="preserve">заказчики обязаны применять информацию, включенную в позицию каталога товаров, работ, услуг (далее </w:t>
      </w:r>
      <w:r>
        <w:rPr>
          <w:rStyle w:val="CharStyle13"/>
          <w:lang w:val="en-US" w:eastAsia="en-US"/>
        </w:rPr>
        <w:t xml:space="preserve">– </w:t>
      </w:r>
      <w:r>
        <w:rPr>
          <w:rStyle w:val="CharStyle13"/>
        </w:rPr>
        <w:t xml:space="preserve">КТРУ) в соответствии с подпунктами «б» </w:t>
      </w:r>
      <w:r>
        <w:rPr>
          <w:rStyle w:val="CharStyle13"/>
          <w:lang w:val="en-US" w:eastAsia="en-US"/>
        </w:rPr>
        <w:t xml:space="preserve">- </w:t>
      </w:r>
      <w:r>
        <w:rPr>
          <w:rStyle w:val="CharStyle13"/>
        </w:rPr>
        <w:t xml:space="preserve">«г» и «е» </w:t>
      </w:r>
      <w:r>
        <w:rPr>
          <w:rStyle w:val="CharStyle13"/>
          <w:lang w:val="en-US" w:eastAsia="en-US"/>
        </w:rPr>
        <w:t xml:space="preserve">- </w:t>
      </w:r>
      <w:r>
        <w:rPr>
          <w:rStyle w:val="CharStyle13"/>
        </w:rPr>
        <w:t xml:space="preserve">«з» пункта </w:t>
      </w:r>
      <w:r>
        <w:rPr>
          <w:rStyle w:val="CharStyle13"/>
          <w:lang w:val="en-US" w:eastAsia="en-US"/>
        </w:rPr>
        <w:t xml:space="preserve">10 </w:t>
      </w:r>
      <w:r>
        <w:rPr>
          <w:rStyle w:val="CharStyle13"/>
        </w:rPr>
        <w:t>Правил формирования и ведения в ЕИС в сфере закупок каталога товаров, работ, услуг для обеспечения государственных и муниципальных нужд.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2"/>
        <w:keepNext w:val="0"/>
        <w:keepLines w:val="0"/>
        <w:widowControl w:val="0"/>
        <w:numPr>
          <w:ilvl w:val="0"/>
          <w:numId w:val="1"/>
        </w:numPr>
        <w:shd w:val="clear" w:color="auto" w:fill="auto"/>
        <w:tabs>
          <w:tab w:pos="1068" w:val="left"/>
        </w:tabs>
        <w:bidi w:val="0"/>
        <w:spacing w:before="0" w:after="0" w:line="240" w:lineRule="auto"/>
        <w:ind w:left="0" w:right="0" w:firstLine="760"/>
        <w:jc w:val="both"/>
      </w:pPr>
      <w:r>
        <w:rPr>
          <w:rStyle w:val="CharStyle13"/>
        </w:rPr>
        <w:t>наименование товара, работы, услуги;</w:t>
      </w:r>
    </w:p>
    <w:p>
      <w:pPr>
        <w:pStyle w:val="Style12"/>
        <w:keepNext w:val="0"/>
        <w:keepLines w:val="0"/>
        <w:widowControl w:val="0"/>
        <w:numPr>
          <w:ilvl w:val="0"/>
          <w:numId w:val="1"/>
        </w:numPr>
        <w:shd w:val="clear" w:color="auto" w:fill="auto"/>
        <w:tabs>
          <w:tab w:pos="1066" w:val="left"/>
        </w:tabs>
        <w:bidi w:val="0"/>
        <w:spacing w:before="0" w:after="0" w:line="240" w:lineRule="auto"/>
        <w:ind w:left="0" w:right="0" w:firstLine="760"/>
        <w:jc w:val="both"/>
      </w:pPr>
      <w:r>
        <w:rPr>
          <w:rStyle w:val="CharStyle13"/>
        </w:rPr>
        <w:t>единицы измерения количества товара, объема выполняемой работы, оказываемой услуги (при наличии);</w:t>
      </w:r>
    </w:p>
    <w:p>
      <w:pPr>
        <w:pStyle w:val="Style12"/>
        <w:keepNext w:val="0"/>
        <w:keepLines w:val="0"/>
        <w:widowControl w:val="0"/>
        <w:numPr>
          <w:ilvl w:val="0"/>
          <w:numId w:val="1"/>
        </w:numPr>
        <w:shd w:val="clear" w:color="auto" w:fill="auto"/>
        <w:tabs>
          <w:tab w:pos="1078" w:val="left"/>
        </w:tabs>
        <w:bidi w:val="0"/>
        <w:spacing w:before="0" w:after="0" w:line="240" w:lineRule="auto"/>
        <w:ind w:left="0" w:right="0" w:firstLine="760"/>
        <w:jc w:val="both"/>
      </w:pPr>
      <w:r>
        <w:rPr>
          <w:rStyle w:val="CharStyle13"/>
        </w:rPr>
        <w:t>описание товара, работы, услуги (при наличии такого описания в позиции).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Пунктом </w:t>
      </w:r>
      <w:r>
        <w:rPr>
          <w:rStyle w:val="CharStyle13"/>
          <w:lang w:val="en-US" w:eastAsia="en-US"/>
        </w:rPr>
        <w:t xml:space="preserve">1 </w:t>
      </w:r>
      <w:r>
        <w:rPr>
          <w:rStyle w:val="CharStyle13"/>
        </w:rPr>
        <w:t xml:space="preserve">части </w:t>
      </w:r>
      <w:r>
        <w:rPr>
          <w:rStyle w:val="CharStyle13"/>
          <w:lang w:val="en-US" w:eastAsia="en-US"/>
        </w:rPr>
        <w:t xml:space="preserve">5 </w:t>
      </w:r>
      <w:r>
        <w:rPr>
          <w:rStyle w:val="CharStyle13"/>
        </w:rPr>
        <w:t xml:space="preserve">статьи </w:t>
      </w:r>
      <w:r>
        <w:rPr>
          <w:rStyle w:val="CharStyle13"/>
          <w:lang w:val="en-US" w:eastAsia="en-US"/>
        </w:rPr>
        <w:t xml:space="preserve">49 </w:t>
      </w:r>
      <w:r>
        <w:rPr>
          <w:rStyle w:val="CharStyle13"/>
        </w:rPr>
        <w:t xml:space="preserve">Закона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3"/>
          <w:lang w:val="en-US" w:eastAsia="en-US"/>
        </w:rPr>
        <w:t xml:space="preserve">4 </w:t>
      </w:r>
      <w:r>
        <w:rPr>
          <w:rStyle w:val="CharStyle13"/>
        </w:rPr>
        <w:t xml:space="preserve">части </w:t>
      </w:r>
      <w:r>
        <w:rPr>
          <w:rStyle w:val="CharStyle13"/>
          <w:lang w:val="en-US" w:eastAsia="en-US"/>
        </w:rPr>
        <w:t xml:space="preserve">4 </w:t>
      </w:r>
      <w:r>
        <w:rPr>
          <w:rStyle w:val="CharStyle13"/>
        </w:rPr>
        <w:t xml:space="preserve">статьи </w:t>
      </w:r>
      <w:r>
        <w:rPr>
          <w:rStyle w:val="CharStyle13"/>
          <w:lang w:val="en-US" w:eastAsia="en-US"/>
        </w:rPr>
        <w:t xml:space="preserve">49 </w:t>
      </w:r>
      <w:r>
        <w:rPr>
          <w:rStyle w:val="CharStyle13"/>
        </w:rPr>
        <w:t xml:space="preserve">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3"/>
          <w:lang w:val="en-US" w:eastAsia="en-US"/>
        </w:rPr>
        <w:t xml:space="preserve">1 – 8 </w:t>
      </w:r>
      <w:r>
        <w:rPr>
          <w:rStyle w:val="CharStyle13"/>
        </w:rPr>
        <w:t xml:space="preserve">части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Комиссией установлено, что согласно протоколу подведения итогов от </w:t>
      </w:r>
      <w:r>
        <w:rPr>
          <w:rStyle w:val="CharStyle13"/>
          <w:lang w:val="en-US" w:eastAsia="en-US"/>
        </w:rPr>
        <w:t xml:space="preserve">19.11.2025 </w:t>
      </w:r>
      <w:r>
        <w:rPr>
          <w:rStyle w:val="CharStyle13"/>
        </w:rPr>
        <w:t>на участие в электронном аукционе подана одна заявка (от Подателя жалобы).</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связи с тем, что по окончании срока подачи заявок на участие в электронном аукционе была подана только одна заявка на участие в нем, а также в связи с тем, что аукционной комиссией по осуществлению закупок принято решение о несоответствии заявки требованиям извещения об осуществлении закупки, на основании пункта </w:t>
      </w:r>
      <w:r>
        <w:rPr>
          <w:rStyle w:val="CharStyle13"/>
          <w:lang w:val="en-US" w:eastAsia="en-US"/>
        </w:rPr>
        <w:t xml:space="preserve">1 </w:t>
      </w:r>
      <w:r>
        <w:rPr>
          <w:rStyle w:val="CharStyle13"/>
        </w:rPr>
        <w:t xml:space="preserve">и пункта </w:t>
      </w:r>
      <w:r>
        <w:rPr>
          <w:rStyle w:val="CharStyle13"/>
          <w:lang w:val="en-US" w:eastAsia="en-US"/>
        </w:rPr>
        <w:t xml:space="preserve">4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52 </w:t>
      </w:r>
      <w:r>
        <w:rPr>
          <w:rStyle w:val="CharStyle13"/>
        </w:rPr>
        <w:t>Закона о контрактной системе определение поставщика (подрядчика, исполнителя) признается несостоявшимся.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Комиссия изучив протокол подведения итогов от </w:t>
      </w:r>
      <w:r>
        <w:rPr>
          <w:rStyle w:val="CharStyle13"/>
          <w:lang w:val="en-US" w:eastAsia="en-US"/>
        </w:rPr>
        <w:t xml:space="preserve">19.11.2025 </w:t>
      </w:r>
      <w:r>
        <w:rPr>
          <w:rStyle w:val="CharStyle13"/>
        </w:rPr>
        <w:t xml:space="preserve">на участие в электронном аукционе, приходит к выводу, что отклонение заявки Подателя жалобы связано с непредставление информации и документов, предусмотренных извещением об осуществлении закупки (отклонение по пункту </w:t>
      </w:r>
      <w:r>
        <w:rPr>
          <w:rStyle w:val="CharStyle13"/>
          <w:lang w:val="en-US" w:eastAsia="en-US"/>
        </w:rPr>
        <w:t xml:space="preserve">1 </w:t>
      </w:r>
      <w:r>
        <w:rPr>
          <w:rStyle w:val="CharStyle13"/>
        </w:rPr>
        <w:t xml:space="preserve">части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Закона о контрактной системе), а именно в нарушение указанных требований участник не представил указанные информацию и документы на предлагаемый товар.</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пункту </w:t>
      </w:r>
      <w:r>
        <w:rPr>
          <w:rStyle w:val="CharStyle13"/>
          <w:lang w:val="en-US" w:eastAsia="en-US"/>
        </w:rPr>
        <w:t xml:space="preserve">12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извещение об осуществлении закупки содержит, в том числе требования, предъявляемые к участникам закупки в соответствии с частью </w:t>
      </w:r>
      <w:r>
        <w:rPr>
          <w:rStyle w:val="CharStyle13"/>
          <w:lang w:val="en-US" w:eastAsia="en-US"/>
        </w:rPr>
        <w:t xml:space="preserve">1 </w:t>
      </w:r>
      <w:r>
        <w:rPr>
          <w:rStyle w:val="CharStyle13"/>
        </w:rPr>
        <w:t xml:space="preserve">статьи </w:t>
      </w:r>
      <w:r>
        <w:rPr>
          <w:rStyle w:val="CharStyle13"/>
          <w:lang w:val="en-US" w:eastAsia="en-US"/>
        </w:rPr>
        <w:t xml:space="preserve">31 </w:t>
      </w:r>
      <w:r>
        <w:rPr>
          <w:rStyle w:val="CharStyle13"/>
        </w:rPr>
        <w:t xml:space="preserve">настоящего Закона, требования, предъявляемые к участникам закупки в соответствии с частями </w:t>
      </w:r>
      <w:r>
        <w:rPr>
          <w:rStyle w:val="CharStyle13"/>
          <w:lang w:val="en-US" w:eastAsia="en-US"/>
        </w:rPr>
        <w:t xml:space="preserve">2 </w:t>
      </w:r>
      <w:r>
        <w:rPr>
          <w:rStyle w:val="CharStyle13"/>
        </w:rPr>
        <w:t xml:space="preserve">и </w:t>
      </w:r>
      <w:r>
        <w:rPr>
          <w:rStyle w:val="CharStyle13"/>
          <w:lang w:val="en-US" w:eastAsia="en-US"/>
        </w:rPr>
        <w:t xml:space="preserve">2.1 </w:t>
      </w:r>
      <w:r>
        <w:rPr>
          <w:rStyle w:val="CharStyle13"/>
        </w:rPr>
        <w:t xml:space="preserve">(при наличии таких требований) статьи </w:t>
      </w:r>
      <w:r>
        <w:rPr>
          <w:rStyle w:val="CharStyle13"/>
          <w:lang w:val="en-US" w:eastAsia="en-US"/>
        </w:rPr>
        <w:t xml:space="preserve">31 </w:t>
      </w:r>
      <w:r>
        <w:rPr>
          <w:rStyle w:val="CharStyle13"/>
        </w:rPr>
        <w:t>настоящего Закона, и исчерпывающий перечень документов, подтверждающих соответствие участника закупки таким требованиям, а также требование, предъявляемое к</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участникам закупки в соответствии с частью </w:t>
      </w:r>
      <w:r>
        <w:rPr>
          <w:rStyle w:val="CharStyle13"/>
          <w:lang w:val="en-US" w:eastAsia="en-US"/>
        </w:rPr>
        <w:t xml:space="preserve">1.1 </w:t>
      </w:r>
      <w:r>
        <w:rPr>
          <w:rStyle w:val="CharStyle13"/>
        </w:rPr>
        <w:t xml:space="preserve">статьи </w:t>
      </w:r>
      <w:r>
        <w:rPr>
          <w:rStyle w:val="CharStyle13"/>
          <w:lang w:val="en-US" w:eastAsia="en-US"/>
        </w:rPr>
        <w:t xml:space="preserve">31 </w:t>
      </w:r>
      <w:r>
        <w:rPr>
          <w:rStyle w:val="CharStyle13"/>
        </w:rPr>
        <w:t>настоящего Закона (при наличии такого требования).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частью </w:t>
      </w:r>
      <w:r>
        <w:rPr>
          <w:rStyle w:val="CharStyle13"/>
          <w:lang w:val="en-US" w:eastAsia="en-US"/>
        </w:rPr>
        <w:t xml:space="preserve">4 </w:t>
      </w:r>
      <w:r>
        <w:rPr>
          <w:rStyle w:val="CharStyle13"/>
        </w:rPr>
        <w:t xml:space="preserve">статьи </w:t>
      </w:r>
      <w:r>
        <w:rPr>
          <w:rStyle w:val="CharStyle13"/>
          <w:lang w:val="en-US" w:eastAsia="en-US"/>
        </w:rPr>
        <w:t xml:space="preserve">38 </w:t>
      </w:r>
      <w:r>
        <w:rPr>
          <w:rStyle w:val="CharStyle13"/>
        </w:rPr>
        <w:t xml:space="preserve">Федерального закона от </w:t>
      </w:r>
      <w:r>
        <w:rPr>
          <w:rStyle w:val="CharStyle13"/>
          <w:lang w:val="en-US" w:eastAsia="en-US"/>
        </w:rPr>
        <w:t xml:space="preserve">21.11.2011 № </w:t>
      </w:r>
      <w:r>
        <w:rPr>
          <w:rStyle w:val="CharStyle13"/>
        </w:rPr>
        <w:t>323-ФЗ «Об основах охраны здоровья граждан в РФ» установлено, что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пункту </w:t>
      </w:r>
      <w:r>
        <w:rPr>
          <w:rStyle w:val="CharStyle13"/>
          <w:lang w:val="en-US" w:eastAsia="en-US"/>
        </w:rPr>
        <w:t xml:space="preserve">2 </w:t>
      </w:r>
      <w:r>
        <w:rPr>
          <w:rStyle w:val="CharStyle13"/>
        </w:rPr>
        <w:t xml:space="preserve">правил государственной регистрации медицинских изделий, утвержденных Постановлением Правительства Российской Федерации от </w:t>
      </w:r>
      <w:r>
        <w:rPr>
          <w:rStyle w:val="CharStyle13"/>
          <w:lang w:val="en-US" w:eastAsia="en-US"/>
        </w:rPr>
        <w:t xml:space="preserve">30.11.2024 № 1684 - </w:t>
      </w:r>
      <w:r>
        <w:rPr>
          <w:rStyle w:val="CharStyle13"/>
        </w:rPr>
        <w:t>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Документом, подтверждающим факт государственной регистрации медицинского изделия, является регистрационное удостоверение, форма которого утверждена приказом Росздравнадзора от </w:t>
      </w:r>
      <w:r>
        <w:rPr>
          <w:rStyle w:val="CharStyle13"/>
          <w:lang w:val="en-US" w:eastAsia="en-US"/>
        </w:rPr>
        <w:t xml:space="preserve">16.01.2013 № </w:t>
      </w:r>
      <w:r>
        <w:rPr>
          <w:rStyle w:val="CharStyle13"/>
        </w:rPr>
        <w:t xml:space="preserve">40-Пр/13 «Об утверждении формы регистрационного удостоверения на медицинское изделие» (далее </w:t>
      </w:r>
      <w:r>
        <w:rPr>
          <w:rStyle w:val="CharStyle13"/>
          <w:lang w:val="en-US" w:eastAsia="en-US"/>
        </w:rPr>
        <w:t xml:space="preserve">– </w:t>
      </w:r>
      <w:r>
        <w:rPr>
          <w:rStyle w:val="CharStyle13"/>
        </w:rPr>
        <w:t>Приказ №40-Пр/13).</w:t>
      </w:r>
    </w:p>
    <w:p>
      <w:pPr>
        <w:pStyle w:val="Style12"/>
        <w:keepNext w:val="0"/>
        <w:keepLines w:val="0"/>
        <w:widowControl w:val="0"/>
        <w:shd w:val="clear" w:color="auto" w:fill="auto"/>
        <w:bidi w:val="0"/>
        <w:spacing w:before="0" w:after="0" w:line="240" w:lineRule="auto"/>
        <w:ind w:left="0" w:right="0" w:firstLine="760"/>
        <w:jc w:val="both"/>
      </w:pPr>
      <w:r>
        <w:rPr>
          <w:rStyle w:val="CharStyle13"/>
        </w:rPr>
        <w:t>Регистрационное удостоверение действительно при условии сохранения в неизменности всех изложенных в нем сведений о медицинском изделии. Обращение медицинских изделий на территории Российской Федерации допускается в соответствии со сведениями, представленными в регистрационном удостоверении, а также в регистрационной документации. Действие регистрационного удостоверения распространяется как на медицинское изделие, так и на его составляющие и принадлежности.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Приказом </w:t>
      </w:r>
      <w:r>
        <w:rPr>
          <w:rStyle w:val="CharStyle13"/>
          <w:lang w:val="en-US" w:eastAsia="en-US"/>
        </w:rPr>
        <w:t xml:space="preserve">N40-Пр/13, </w:t>
      </w:r>
      <w:r>
        <w:rPr>
          <w:rStyle w:val="CharStyle13"/>
        </w:rPr>
        <w:t xml:space="preserve">утверждена форма регистрационного удостоверения на медицинское изделие. Согласно утвержденной форме, в регистрационном удостоверении на медицинское изделие указывается наименование медицинского изделия (с указанием принадлежностей, необходимых для применения медицинского изделия по назначению), а также класс потенциального риска применения медицинского изделия, в соответствии с НКМИ, утвержденной приказом Министерства здравоохранения Российской Федерации от </w:t>
      </w:r>
      <w:r>
        <w:rPr>
          <w:rStyle w:val="CharStyle13"/>
          <w:lang w:val="en-US" w:eastAsia="en-US"/>
        </w:rPr>
        <w:t xml:space="preserve">6 </w:t>
      </w:r>
      <w:r>
        <w:rPr>
          <w:rStyle w:val="CharStyle13"/>
        </w:rPr>
        <w:t xml:space="preserve">июня </w:t>
      </w:r>
      <w:r>
        <w:rPr>
          <w:rStyle w:val="CharStyle13"/>
          <w:lang w:val="en-US" w:eastAsia="en-US"/>
        </w:rPr>
        <w:t xml:space="preserve">2012 </w:t>
      </w:r>
      <w:r>
        <w:rPr>
          <w:rStyle w:val="CharStyle13"/>
        </w:rPr>
        <w:t xml:space="preserve">года </w:t>
      </w:r>
      <w:r>
        <w:rPr>
          <w:rStyle w:val="CharStyle13"/>
          <w:lang w:val="en-US" w:eastAsia="en-US"/>
        </w:rPr>
        <w:t xml:space="preserve">№ </w:t>
      </w:r>
      <w:r>
        <w:rPr>
          <w:rStyle w:val="CharStyle13"/>
        </w:rPr>
        <w:t>4н.</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НКМИ содержит числовое обозначение вида медицинского изделия </w:t>
      </w:r>
      <w:r>
        <w:rPr>
          <w:rStyle w:val="CharStyle13"/>
          <w:lang w:val="en-US" w:eastAsia="en-US"/>
        </w:rPr>
        <w:t xml:space="preserve">- </w:t>
      </w:r>
      <w:r>
        <w:rPr>
          <w:rStyle w:val="CharStyle13"/>
        </w:rPr>
        <w:t>идентификационный уникальный номер записи, наименование вида медицинского изделия, описание вида медицинского изделия, содержащее соответствующие классификационные признаки вида медицинского изделия, указываемые в зависимости от назначения медицинского изделия.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свою очередь, в соответствии с положениями Закона о контрактной системе, Постановления </w:t>
      </w:r>
      <w:r>
        <w:rPr>
          <w:rStyle w:val="CharStyle13"/>
          <w:lang w:val="en-US" w:eastAsia="en-US"/>
        </w:rPr>
        <w:t xml:space="preserve">№ 145, </w:t>
      </w:r>
      <w:r>
        <w:rPr>
          <w:rStyle w:val="CharStyle13"/>
        </w:rPr>
        <w:t xml:space="preserve">содержание понятий «наименование объекта закупки» и «наименование товара, работы, услуги» не является тождественным (Письмо Министерства финансов Российской Федерации от </w:t>
      </w:r>
      <w:r>
        <w:rPr>
          <w:rStyle w:val="CharStyle13"/>
          <w:lang w:val="en-US" w:eastAsia="en-US"/>
        </w:rPr>
        <w:t>24.10.202 № 24-06-06/103079).</w:t>
      </w:r>
    </w:p>
    <w:p>
      <w:pPr>
        <w:pStyle w:val="Style12"/>
        <w:keepNext w:val="0"/>
        <w:keepLines w:val="0"/>
        <w:widowControl w:val="0"/>
        <w:shd w:val="clear" w:color="auto" w:fill="auto"/>
        <w:bidi w:val="0"/>
        <w:spacing w:before="0" w:after="0" w:line="240" w:lineRule="auto"/>
        <w:ind w:left="0" w:right="0" w:firstLine="760"/>
        <w:jc w:val="both"/>
      </w:pPr>
      <w:r>
        <w:rPr>
          <w:rStyle w:val="CharStyle13"/>
        </w:rPr>
        <w:t>Исходя из вышеизложенного, объектом спорной закупки является поставка:«Приобретение медицинского оборудования (Система эндоскопической визуализации (Эндоскопическая консоль или стойка с оборудованием и принадлежностями для эндовидеохирургии».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Закон о контрактной системе по общему правилу не содержит ограничений (за исключением случаев, приводящих к ограничению количества участников закупки, а также случаев, предусмотренных нормативным правовым актом, принятым в соответствии с положениями статьи </w:t>
      </w:r>
      <w:r>
        <w:rPr>
          <w:rStyle w:val="CharStyle13"/>
          <w:lang w:val="en-US" w:eastAsia="en-US"/>
        </w:rPr>
        <w:t xml:space="preserve">14 </w:t>
      </w:r>
      <w:r>
        <w:rPr>
          <w:rStyle w:val="CharStyle13"/>
        </w:rPr>
        <w:t>Закона о контрактной системе) в отношении возможности включения в один объект закупки нескольких товаров, работ, услуг.</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свою очередь, принимая во внимание требования к содержанию заявок на участие в закупках, положения части </w:t>
      </w:r>
      <w:r>
        <w:rPr>
          <w:rStyle w:val="CharStyle13"/>
          <w:lang w:val="en-US" w:eastAsia="en-US"/>
        </w:rPr>
        <w:t xml:space="preserve">1 </w:t>
      </w:r>
      <w:r>
        <w:rPr>
          <w:rStyle w:val="CharStyle13"/>
        </w:rPr>
        <w:t xml:space="preserve">статьи </w:t>
      </w:r>
      <w:r>
        <w:rPr>
          <w:rStyle w:val="CharStyle13"/>
          <w:lang w:val="en-US" w:eastAsia="en-US"/>
        </w:rPr>
        <w:t xml:space="preserve">34 </w:t>
      </w:r>
      <w:r>
        <w:rPr>
          <w:rStyle w:val="CharStyle13"/>
        </w:rPr>
        <w:t>Закона о контрактной системе о заключении контракта на условиях, предусмотренных извещением об осуществлении закупки и заявкой участника</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закупки, а также невозможность изменения существенных условий заключенного контракта (за исключением исчерпывающего перечня случаев), в заключаемый контракт включается информация о конкретном товаре, предлагаемом участником закупки, в том числе информация о конкретной стране происхождения товара, регистрационном удостоверении, характеристиках товара (Письмо Министерства финансов Российской Федерации от </w:t>
      </w:r>
      <w:r>
        <w:rPr>
          <w:rStyle w:val="CharStyle13"/>
          <w:lang w:val="en-US" w:eastAsia="en-US"/>
        </w:rPr>
        <w:t>24.10.202 № 24-06</w:t>
        <w:softHyphen/>
        <w:t>06/103079).</w:t>
      </w:r>
    </w:p>
    <w:p>
      <w:pPr>
        <w:pStyle w:val="Style12"/>
        <w:keepNext w:val="0"/>
        <w:keepLines w:val="0"/>
        <w:widowControl w:val="0"/>
        <w:shd w:val="clear" w:color="auto" w:fill="auto"/>
        <w:bidi w:val="0"/>
        <w:spacing w:before="0" w:after="0" w:line="240" w:lineRule="auto"/>
        <w:ind w:left="0" w:right="0" w:firstLine="760"/>
        <w:jc w:val="both"/>
      </w:pPr>
      <w:r>
        <w:rPr>
          <w:rStyle w:val="CharStyle13"/>
        </w:rPr>
        <w:t>Описание объекта закупки, предоставленное Заказчиком, сформировано таким образом, что медицинские изделия входящие в состав системы имеют разные КТРУ и разные НКМИ.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адрес Комиссии были представлены письменные пояснения Уполномоченного органа, согласно которым посредством региональной информационной системы Красноярского края «Автоматизированная система управления закупками Красноярского края» в адрес Заказчика направлены замечания. В данных замечаниях содержалось требование уточнить возможность осуществления закупки указанного оборудования в виде единого комплекса </w:t>
      </w:r>
      <w:r>
        <w:rPr>
          <w:rStyle w:val="CharStyle13"/>
          <w:lang w:val="en-US" w:eastAsia="en-US"/>
        </w:rPr>
        <w:t xml:space="preserve">- </w:t>
      </w:r>
      <w:r>
        <w:rPr>
          <w:rStyle w:val="CharStyle13"/>
        </w:rPr>
        <w:t>при сохранении общего объекта закупки, но с детализацией его состава путём разделения на отдельные позиции. При этом внесенные замечания остались без устранения.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рассматриваемом случае Заказчиком согласно описанию объекта закупки закупается: «Приобретение медицинского оборудования (Система эндоскопической визуализации (Эндоскопическая консоль или стойка с оборудованием и принадлежностями для эндовидеохирургии))» </w:t>
      </w:r>
      <w:r>
        <w:rPr>
          <w:rStyle w:val="CharStyle13"/>
          <w:lang w:val="en-US" w:eastAsia="en-US"/>
        </w:rPr>
        <w:t xml:space="preserve">- </w:t>
      </w:r>
      <w:r>
        <w:rPr>
          <w:rStyle w:val="CharStyle13"/>
        </w:rPr>
        <w:t xml:space="preserve">которая, согласно извещения состоит из одного товара: «Система эндоскопической визуализации», цена за единицу </w:t>
      </w:r>
      <w:r>
        <w:rPr>
          <w:rStyle w:val="CharStyle13"/>
          <w:lang w:val="en-US" w:eastAsia="en-US"/>
        </w:rPr>
        <w:t xml:space="preserve">– 7 883 163 </w:t>
      </w:r>
      <w:r>
        <w:rPr>
          <w:rStyle w:val="CharStyle13"/>
        </w:rPr>
        <w:t xml:space="preserve">рублей и </w:t>
      </w:r>
      <w:r>
        <w:rPr>
          <w:rStyle w:val="CharStyle13"/>
          <w:lang w:val="en-US" w:eastAsia="en-US"/>
        </w:rPr>
        <w:t xml:space="preserve">67 </w:t>
      </w:r>
      <w:r>
        <w:rPr>
          <w:rStyle w:val="CharStyle13"/>
        </w:rPr>
        <w:t>копеек.</w:t>
      </w:r>
    </w:p>
    <w:p>
      <w:pPr>
        <w:pStyle w:val="Style12"/>
        <w:keepNext w:val="0"/>
        <w:keepLines w:val="0"/>
        <w:widowControl w:val="0"/>
        <w:shd w:val="clear" w:color="auto" w:fill="auto"/>
        <w:bidi w:val="0"/>
        <w:spacing w:before="0" w:after="0" w:line="240" w:lineRule="auto"/>
        <w:ind w:left="0" w:right="0" w:firstLine="760"/>
        <w:jc w:val="both"/>
      </w:pPr>
      <w:r>
        <w:rPr>
          <w:rStyle w:val="CharStyle13"/>
        </w:rPr>
        <w:t>Таким образом, представленные участником документы должны быть на единый товар, а не на отдельные его составляющие.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Требованиями к составу заявки на участие в аукционе установлено, что соответствие товара требованиям, установленным в соответствии с законодательством Российской Федерации, подтверждается информацией о наличии записи в государственном реестре медицинских изделий или копия действующего регистрационного удостоверения, выданного уполномоченным органом.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Комиссия сообщает, что Податель жалобы не предоставил информацию и документы на единую систему эндоскопической визуализации, соответствующей КТРУ </w:t>
      </w:r>
      <w:r>
        <w:rPr>
          <w:rStyle w:val="CharStyle13"/>
          <w:lang w:val="en-US" w:eastAsia="en-US"/>
        </w:rPr>
        <w:t>26.60.12.119</w:t>
        <w:softHyphen/>
        <w:t xml:space="preserve">00000374, </w:t>
      </w:r>
      <w:r>
        <w:rPr>
          <w:rStyle w:val="CharStyle13"/>
        </w:rPr>
        <w:t xml:space="preserve">а представил отдельные регистрационные удостоверения на отдельные позиции медицинских изделий: </w:t>
      </w:r>
      <w:r>
        <w:rPr>
          <w:rStyle w:val="CharStyle13"/>
          <w:lang w:val="en-US" w:eastAsia="en-US"/>
        </w:rPr>
        <w:t xml:space="preserve">№ 2010/08874 </w:t>
      </w:r>
      <w:r>
        <w:rPr>
          <w:rStyle w:val="CharStyle13"/>
        </w:rPr>
        <w:t xml:space="preserve">«Набор инструментов для проведения транслюминальных эндоскопических лапароскопически-ассистированных вмешательств «ЭСТЭН»; </w:t>
      </w:r>
      <w:r>
        <w:rPr>
          <w:rStyle w:val="CharStyle13"/>
          <w:lang w:val="en-US" w:eastAsia="en-US"/>
        </w:rPr>
        <w:t xml:space="preserve">№ 2019/9220 </w:t>
      </w:r>
      <w:r>
        <w:rPr>
          <w:rStyle w:val="CharStyle13"/>
        </w:rPr>
        <w:t xml:space="preserve">«Система электрохирургическая высокочастотная «ФОТЕК»; </w:t>
      </w:r>
      <w:r>
        <w:rPr>
          <w:rStyle w:val="CharStyle13"/>
          <w:lang w:val="en-US" w:eastAsia="en-US"/>
        </w:rPr>
        <w:t xml:space="preserve">№ 2021/14352 </w:t>
      </w:r>
      <w:r>
        <w:rPr>
          <w:rStyle w:val="CharStyle13"/>
        </w:rPr>
        <w:t xml:space="preserve">«Видеокамера эндоскопическая ЭВК»; </w:t>
      </w:r>
      <w:r>
        <w:rPr>
          <w:rStyle w:val="CharStyle13"/>
          <w:lang w:val="en-US" w:eastAsia="en-US"/>
        </w:rPr>
        <w:t xml:space="preserve">№ 2021/14568 </w:t>
      </w:r>
      <w:r>
        <w:rPr>
          <w:rStyle w:val="CharStyle13"/>
        </w:rPr>
        <w:t xml:space="preserve">«Устройство подачи и отсоса жидкости в полости УПЖ»; </w:t>
      </w:r>
      <w:r>
        <w:rPr>
          <w:rStyle w:val="CharStyle13"/>
          <w:lang w:val="en-US" w:eastAsia="en-US"/>
        </w:rPr>
        <w:t xml:space="preserve">№ 2021/14730 </w:t>
      </w:r>
      <w:r>
        <w:rPr>
          <w:rStyle w:val="CharStyle13"/>
        </w:rPr>
        <w:t xml:space="preserve">«Инсуффлятор эндоскопический ЭИН»; </w:t>
      </w:r>
      <w:r>
        <w:rPr>
          <w:rStyle w:val="CharStyle13"/>
          <w:lang w:val="en-US" w:eastAsia="en-US"/>
        </w:rPr>
        <w:t xml:space="preserve">№ 2021/15394 </w:t>
      </w:r>
      <w:r>
        <w:rPr>
          <w:rStyle w:val="CharStyle13"/>
        </w:rPr>
        <w:t>«Инструменты электрохирургические «ЗЭТ» с принадлежностями к высокочастотным электрохирургическим аппаратам».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Таким образом, заявка участника подлежала отклонению 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позиции Министерства Финансов Российской Федерации, изложенной в письме Министерства финансов РФ от </w:t>
      </w:r>
      <w:r>
        <w:rPr>
          <w:rStyle w:val="CharStyle13"/>
          <w:lang w:val="en-US" w:eastAsia="en-US"/>
        </w:rPr>
        <w:t xml:space="preserve">24.10.202 №24-06-06/103079: </w:t>
      </w:r>
      <w:r>
        <w:rPr>
          <w:rStyle w:val="CharStyle13"/>
        </w:rPr>
        <w:t>«В случае, если в рамках одного объекта закупки закупаются несколько позиций различных товаров с указанием их стоимости и количества (спецификация), участником закупки, по мнению Департамента, указывается информация о реестровой записи (регистрационном удостоверении) в отношении каждой такой позиции товара.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Принимая во внимание требования к содержанию заявок на участие в закупках, положения части </w:t>
      </w:r>
      <w:r>
        <w:rPr>
          <w:rStyle w:val="CharStyle13"/>
          <w:lang w:val="en-US" w:eastAsia="en-US"/>
        </w:rPr>
        <w:t xml:space="preserve">1 </w:t>
      </w:r>
      <w:r>
        <w:rPr>
          <w:rStyle w:val="CharStyle13"/>
        </w:rPr>
        <w:t xml:space="preserve">статьи </w:t>
      </w:r>
      <w:r>
        <w:rPr>
          <w:rStyle w:val="CharStyle13"/>
          <w:lang w:val="en-US" w:eastAsia="en-US"/>
        </w:rPr>
        <w:t xml:space="preserve">34 </w:t>
      </w:r>
      <w:r>
        <w:rPr>
          <w:rStyle w:val="CharStyle13"/>
        </w:rPr>
        <w:t>Закона о контрактной системе о заключении контракта на условиях, предусмотренных извещением об осуществлении закупки и заявкой участника закупки, а также невозможность изменения существенных условий заключенного контракта (за исключением исчерпывающего перечня случаев), в заключаемый контракт включается</w:t>
      </w:r>
    </w:p>
    <w:p>
      <w:pPr>
        <w:pStyle w:val="Style12"/>
        <w:keepNext w:val="0"/>
        <w:keepLines w:val="0"/>
        <w:widowControl w:val="0"/>
        <w:shd w:val="clear" w:color="auto" w:fill="auto"/>
        <w:bidi w:val="0"/>
        <w:spacing w:before="0" w:after="0" w:line="240" w:lineRule="auto"/>
        <w:ind w:left="0" w:right="0" w:firstLine="0"/>
        <w:jc w:val="both"/>
      </w:pPr>
      <w:r>
        <w:rPr>
          <w:rStyle w:val="CharStyle13"/>
        </w:rPr>
        <w:t>информация о конкретном товаре, предлагаемом участником закупки, в том числе информация о конкретной стране происхождения товара, регистрационном удостоверении, характеристиках товара.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Учитывая отсутствие возможности подачи в составе заявки на участие в закупке альтернативных предложений, указываемая информация (как и иная информация о товаре, указываемая в заявке на участие в закупке) не может носить вариативного характера.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Исходя из вышеизложенного, представление нескольких регистрационных удостоверений возможно только в том случае, если описание объекта закупки включает в себя различные товары с привязкой каждого такого товара к определенной позиции КТРУ, с обоснованием НМЦК и количества на каждый такой товар».</w:t>
      </w:r>
    </w:p>
    <w:p>
      <w:pPr>
        <w:pStyle w:val="Style12"/>
        <w:keepNext w:val="0"/>
        <w:keepLines w:val="0"/>
        <w:widowControl w:val="0"/>
        <w:shd w:val="clear" w:color="auto" w:fill="auto"/>
        <w:bidi w:val="0"/>
        <w:spacing w:before="0" w:after="0" w:line="240" w:lineRule="auto"/>
        <w:ind w:left="0" w:right="0" w:firstLine="760"/>
        <w:jc w:val="both"/>
      </w:pPr>
      <w:r>
        <w:rPr>
          <w:rStyle w:val="CharStyle13"/>
        </w:rPr>
        <w:t>Кроме того, Податель жалобы, подавая заявку на участие в электронном аукционе, добровольно принял на себя обязательства по соблюдению требований, изложенных в извещении о проведении аукциона. Однако в составе заявленной документации им не было представлено регистрационное удостоверение единую систему эндоскопической визуализации. При этом до момента подведения итогов определения поставщика (подрядчика, исполнителя) со стороны Подателя жалобы не поступало запросов к Заказчику относительно разъяснений положений извещения.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На основании вышеизложенного, Комиссия делает вывод о том, что довод о неправомерном отклонении аукционной комиссией заявки Подателя жалобы на участие в электронному аукционе является необоснованным, так как аукционная комиссия лишена возможности признать заявку Подателя жалобы соответствующей требованиям извещения.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Вместе с тем, принимая во внимание фактическое положение дел, Комиссия считает необходимым пояснить, что по позиции КТРУ </w:t>
      </w:r>
      <w:r>
        <w:rPr>
          <w:rStyle w:val="CharStyle13"/>
          <w:lang w:val="en-US" w:eastAsia="en-US"/>
        </w:rPr>
        <w:t xml:space="preserve">26.60.12.119-00000374 </w:t>
      </w:r>
      <w:r>
        <w:rPr>
          <w:rStyle w:val="CharStyle13"/>
        </w:rPr>
        <w:t xml:space="preserve">не указаны характеристики товара, работы, услуги, следовательно Заказчик вправе был предусмотреть дополнительные потребительские свойства, в том числе функциональные, технические, качественные, эксплуатационные характеристики товара в соответствии с положениями статьи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Система эндоскопической визуализации, код позиции КТРУ </w:t>
      </w:r>
      <w:r>
        <w:rPr>
          <w:rStyle w:val="CharStyle13"/>
          <w:lang w:val="en-US" w:eastAsia="en-US"/>
        </w:rPr>
        <w:t xml:space="preserve">26.60.12.119-00000374, </w:t>
      </w:r>
      <w:r>
        <w:rPr>
          <w:rStyle w:val="CharStyle13"/>
        </w:rPr>
        <w:t>которая согласно справочной информации, размещенной в коде позиции КТРУ, представляет собой единый комплекс работающих от сети (сети переменного тока) устройств, разработанных для получения, передачи и отображения видеоизображений во время проведения эндоскопической процедуры. Как правило, состоит из одного или нескольких видеоэндоскопов, эндоскопической камеры, блока управления камерой, источника света со световыми кабелями, устройства для записи видеоданных, блоков визуализации (иногда с функцией цветокомпенсации) и видеодисплея. Все компоненты, как правило, размещаются/устанавливаются на специальной тележке, которую можно перемещать в различные помещения для проведения осмотра/терапевтических процедур.</w:t>
      </w:r>
    </w:p>
    <w:p>
      <w:pPr>
        <w:pStyle w:val="Style12"/>
        <w:keepNext w:val="0"/>
        <w:keepLines w:val="0"/>
        <w:widowControl w:val="0"/>
        <w:shd w:val="clear" w:color="auto" w:fill="auto"/>
        <w:bidi w:val="0"/>
        <w:spacing w:before="0" w:after="0" w:line="240" w:lineRule="auto"/>
        <w:ind w:left="0" w:right="0" w:firstLine="760"/>
        <w:jc w:val="both"/>
      </w:pPr>
      <w:r>
        <w:rPr>
          <w:rStyle w:val="CharStyle13"/>
        </w:rPr>
        <w:t>Таким образом, описание содержит основные комплектующие из чего состоит такая система. Оговорка «как правило» означает, что у Заказчика есть вариативность и возможность включать иные комплектующие, но не исключает взаимодействие и нахождение таких комплектующих именно в системе (едином комплексе).</w:t>
      </w:r>
    </w:p>
    <w:p>
      <w:pPr>
        <w:pStyle w:val="Style12"/>
        <w:keepNext w:val="0"/>
        <w:keepLines w:val="0"/>
        <w:widowControl w:val="0"/>
        <w:shd w:val="clear" w:color="auto" w:fill="auto"/>
        <w:bidi w:val="0"/>
        <w:spacing w:before="0" w:after="0" w:line="240" w:lineRule="auto"/>
        <w:ind w:left="0" w:right="0" w:firstLine="760"/>
        <w:jc w:val="both"/>
      </w:pPr>
      <w:r>
        <w:rPr>
          <w:rStyle w:val="CharStyle13"/>
          <w:lang w:val="en-US" w:eastAsia="en-US"/>
        </w:rPr>
        <w:t xml:space="preserve">Cистема </w:t>
      </w:r>
      <w:r>
        <w:rPr>
          <w:rStyle w:val="CharStyle13"/>
        </w:rPr>
        <w:t>эндоскопической визуализации представляет собой единый комплекс, состоящих из нескольких элементов.</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Пунктом </w:t>
      </w:r>
      <w:r>
        <w:rPr>
          <w:rStyle w:val="CharStyle13"/>
          <w:lang w:val="en-US" w:eastAsia="en-US"/>
        </w:rPr>
        <w:t xml:space="preserve">1 </w:t>
      </w:r>
      <w:r>
        <w:rPr>
          <w:rStyle w:val="CharStyle13"/>
        </w:rPr>
        <w:t xml:space="preserve">Постановления Правительства РФ от </w:t>
      </w:r>
      <w:r>
        <w:rPr>
          <w:rStyle w:val="CharStyle13"/>
          <w:lang w:val="en-US" w:eastAsia="en-US"/>
        </w:rPr>
        <w:t xml:space="preserve">19.04.2021 № 620 </w:t>
      </w:r>
      <w:r>
        <w:rPr>
          <w:rStyle w:val="CharStyle13"/>
        </w:rPr>
        <w:t xml:space="preserve">«О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(далее </w:t>
      </w:r>
      <w:r>
        <w:rPr>
          <w:rStyle w:val="CharStyle13"/>
          <w:lang w:val="en-US" w:eastAsia="en-US"/>
        </w:rPr>
        <w:t xml:space="preserve">– </w:t>
      </w:r>
      <w:r>
        <w:rPr>
          <w:rStyle w:val="CharStyle13"/>
        </w:rPr>
        <w:t xml:space="preserve">Постановление </w:t>
      </w:r>
      <w:r>
        <w:rPr>
          <w:rStyle w:val="CharStyle13"/>
          <w:lang w:val="en-US" w:eastAsia="en-US"/>
        </w:rPr>
        <w:t xml:space="preserve">№ 620) </w:t>
      </w:r>
      <w:r>
        <w:rPr>
          <w:rStyle w:val="CharStyle13"/>
        </w:rPr>
        <w:t>установлено, что при осуществлении закупок медицинских изделий не могут быть предметом одного контракта (одного лота) медицинские изделия различных видов в соответствии с номенклатурной классификацией медицинских изделий по видам, утвержденной Министерством здравоохранения Российской Федерации, при условии, что</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значение начальной (максимальной) цены контракта (цены лота) превышает: </w:t>
      </w:r>
      <w:r>
        <w:rPr>
          <w:rStyle w:val="CharStyle13"/>
          <w:lang w:val="en-US" w:eastAsia="en-US"/>
        </w:rPr>
        <w:t xml:space="preserve">600 </w:t>
      </w:r>
      <w:r>
        <w:rPr>
          <w:rStyle w:val="CharStyle13"/>
        </w:rPr>
        <w:t xml:space="preserve">тыс. рублей </w:t>
      </w:r>
      <w:r>
        <w:rPr>
          <w:rStyle w:val="CharStyle13"/>
          <w:lang w:val="en-US" w:eastAsia="en-US"/>
        </w:rPr>
        <w:t xml:space="preserve">- </w:t>
      </w:r>
      <w:r>
        <w:rPr>
          <w:rStyle w:val="CharStyle13"/>
        </w:rPr>
        <w:t xml:space="preserve">для заказчиков, у которых объем денежных средств, направленных на закупку медицинских изделий в предшествующем году, составил менее </w:t>
      </w:r>
      <w:r>
        <w:rPr>
          <w:rStyle w:val="CharStyle13"/>
          <w:lang w:val="en-US" w:eastAsia="en-US"/>
        </w:rPr>
        <w:t xml:space="preserve">50 </w:t>
      </w:r>
      <w:r>
        <w:rPr>
          <w:rStyle w:val="CharStyle13"/>
        </w:rPr>
        <w:t xml:space="preserve">млн. рублей; </w:t>
      </w:r>
      <w:r>
        <w:rPr>
          <w:rStyle w:val="CharStyle13"/>
          <w:lang w:val="en-US" w:eastAsia="en-US"/>
        </w:rPr>
        <w:t xml:space="preserve">1 </w:t>
      </w:r>
      <w:r>
        <w:rPr>
          <w:rStyle w:val="CharStyle13"/>
        </w:rPr>
        <w:t xml:space="preserve">млн. рублей </w:t>
      </w:r>
      <w:r>
        <w:rPr>
          <w:rStyle w:val="CharStyle13"/>
          <w:lang w:val="en-US" w:eastAsia="en-US"/>
        </w:rPr>
        <w:t xml:space="preserve">- </w:t>
      </w:r>
      <w:r>
        <w:rPr>
          <w:rStyle w:val="CharStyle13"/>
        </w:rPr>
        <w:t xml:space="preserve">для заказчиков, у которых объем денежных средств, направленных на закупку медицинских изделий в предшествующем году, составил от </w:t>
      </w:r>
      <w:r>
        <w:rPr>
          <w:rStyle w:val="CharStyle13"/>
          <w:lang w:val="en-US" w:eastAsia="en-US"/>
        </w:rPr>
        <w:t xml:space="preserve">50 </w:t>
      </w:r>
      <w:r>
        <w:rPr>
          <w:rStyle w:val="CharStyle13"/>
        </w:rPr>
        <w:t xml:space="preserve">млн. рублей до </w:t>
      </w:r>
      <w:r>
        <w:rPr>
          <w:rStyle w:val="CharStyle13"/>
          <w:lang w:val="en-US" w:eastAsia="en-US"/>
        </w:rPr>
        <w:t xml:space="preserve">100 </w:t>
      </w:r>
      <w:r>
        <w:rPr>
          <w:rStyle w:val="CharStyle13"/>
        </w:rPr>
        <w:t xml:space="preserve">млн. рублей; </w:t>
      </w:r>
      <w:r>
        <w:rPr>
          <w:rStyle w:val="CharStyle13"/>
          <w:lang w:val="en-US" w:eastAsia="en-US"/>
        </w:rPr>
        <w:t xml:space="preserve">1,5 </w:t>
      </w:r>
      <w:r>
        <w:rPr>
          <w:rStyle w:val="CharStyle13"/>
        </w:rPr>
        <w:t xml:space="preserve">млн. рублей </w:t>
      </w:r>
      <w:r>
        <w:rPr>
          <w:rStyle w:val="CharStyle13"/>
          <w:lang w:val="en-US" w:eastAsia="en-US"/>
        </w:rPr>
        <w:t xml:space="preserve">- </w:t>
      </w:r>
      <w:r>
        <w:rPr>
          <w:rStyle w:val="CharStyle13"/>
        </w:rPr>
        <w:t xml:space="preserve">для заказчиков, у которых объем денежных средств, направленных на закупку медицинских изделий в предшествующем году, составил более </w:t>
      </w:r>
      <w:r>
        <w:rPr>
          <w:rStyle w:val="CharStyle13"/>
          <w:lang w:val="en-US" w:eastAsia="en-US"/>
        </w:rPr>
        <w:t xml:space="preserve">100 </w:t>
      </w:r>
      <w:r>
        <w:rPr>
          <w:rStyle w:val="CharStyle13"/>
        </w:rPr>
        <w:t>млн. рублей.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Данное требование не распространяется на закупки медицинских изделий, объединенных в один лот (контракт) по контрактам жизненного цикла, заключаемым в случаях, установленных Правительством Российской Федерации, а также на закупки медицинских изделий, объединенных в один лот (контракт) с расходными материалами, которые предусмотрены производителем (изготовителем) для использования данных медицинских изделий (пункт </w:t>
      </w:r>
      <w:r>
        <w:rPr>
          <w:rStyle w:val="CharStyle13"/>
          <w:lang w:val="en-US" w:eastAsia="en-US"/>
        </w:rPr>
        <w:t xml:space="preserve">2 </w:t>
      </w:r>
      <w:r>
        <w:rPr>
          <w:rStyle w:val="CharStyle13"/>
        </w:rPr>
        <w:t xml:space="preserve">Постановления </w:t>
      </w:r>
      <w:r>
        <w:rPr>
          <w:rStyle w:val="CharStyle13"/>
          <w:lang w:val="en-US" w:eastAsia="en-US"/>
        </w:rPr>
        <w:t>№ 620).</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силу статьи </w:t>
      </w:r>
      <w:r>
        <w:rPr>
          <w:rStyle w:val="CharStyle13"/>
          <w:lang w:val="en-US" w:eastAsia="en-US"/>
        </w:rPr>
        <w:t xml:space="preserve">38 </w:t>
      </w:r>
      <w:r>
        <w:rPr>
          <w:rStyle w:val="CharStyle13"/>
        </w:rPr>
        <w:t xml:space="preserve">Федерального закона от </w:t>
      </w:r>
      <w:r>
        <w:rPr>
          <w:rStyle w:val="CharStyle13"/>
          <w:lang w:val="en-US" w:eastAsia="en-US"/>
        </w:rPr>
        <w:t xml:space="preserve">21.11.2011 № </w:t>
      </w:r>
      <w:r>
        <w:rPr>
          <w:rStyle w:val="CharStyle13"/>
        </w:rPr>
        <w:t xml:space="preserve">323-ФЗ «Об основах охраны здоровья граждан в Российской Федерации»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 (пункт </w:t>
      </w:r>
      <w:r>
        <w:rPr>
          <w:rStyle w:val="CharStyle13"/>
          <w:lang w:val="en-US" w:eastAsia="en-US"/>
        </w:rPr>
        <w:t xml:space="preserve">1). </w:t>
      </w:r>
      <w:r>
        <w:rPr>
          <w:rStyle w:val="CharStyle13"/>
        </w:rPr>
        <w:t xml:space="preserve">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Номенклатурная классификация медицинских изделий утверждается уполномоченным федеральным органом исполнительной власти (пункт </w:t>
      </w:r>
      <w:r>
        <w:rPr>
          <w:rStyle w:val="CharStyle13"/>
          <w:lang w:val="en-US" w:eastAsia="en-US"/>
        </w:rPr>
        <w:t>2).</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положениям «ГОСТ Р </w:t>
      </w:r>
      <w:r>
        <w:rPr>
          <w:rStyle w:val="CharStyle13"/>
          <w:lang w:val="en-US" w:eastAsia="en-US"/>
        </w:rPr>
        <w:t xml:space="preserve">56278-2014. </w:t>
      </w:r>
      <w:r>
        <w:rPr>
          <w:rStyle w:val="CharStyle13"/>
        </w:rPr>
        <w:t xml:space="preserve">Национальный стандарт Российской Федерации. Изделия медицинские электрические. Видеоэндоскопические комплексы с установками для ультразвуковой и флуоресцентной эндоскопии. Технические требования для государственных закупок», утвержденного Приказом Росстандарта от </w:t>
      </w:r>
      <w:r>
        <w:rPr>
          <w:rStyle w:val="CharStyle13"/>
          <w:lang w:val="en-US" w:eastAsia="en-US"/>
        </w:rPr>
        <w:t xml:space="preserve">26.11.2014 № </w:t>
      </w:r>
      <w:r>
        <w:rPr>
          <w:rStyle w:val="CharStyle13"/>
        </w:rPr>
        <w:t xml:space="preserve">1881-ст, настоящий стандарт устанавливает основные требования, которые должны содержаться в технических заданиях для государственных закупок на видеоэндоскопические комплексы с установками для ультразвуковой и флуоресцентной эндоскопии (далее </w:t>
      </w:r>
      <w:r>
        <w:rPr>
          <w:rStyle w:val="CharStyle13"/>
          <w:lang w:val="en-US" w:eastAsia="en-US"/>
        </w:rPr>
        <w:t xml:space="preserve">- </w:t>
      </w:r>
      <w:r>
        <w:rPr>
          <w:rStyle w:val="CharStyle13"/>
        </w:rPr>
        <w:t>ВЭ комплексы).</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Пунктом </w:t>
      </w:r>
      <w:r>
        <w:rPr>
          <w:rStyle w:val="CharStyle13"/>
          <w:lang w:val="en-US" w:eastAsia="en-US"/>
        </w:rPr>
        <w:t xml:space="preserve">4.2.4 </w:t>
      </w:r>
      <w:r>
        <w:rPr>
          <w:rStyle w:val="CharStyle13"/>
        </w:rPr>
        <w:t xml:space="preserve">ГОСТ Р </w:t>
      </w:r>
      <w:r>
        <w:rPr>
          <w:rStyle w:val="CharStyle13"/>
          <w:lang w:val="en-US" w:eastAsia="en-US"/>
        </w:rPr>
        <w:t xml:space="preserve">56278-2014 </w:t>
      </w:r>
      <w:r>
        <w:rPr>
          <w:rStyle w:val="CharStyle13"/>
        </w:rPr>
        <w:t>определено, что принцип построения приборного ВЭ комплекса на основе функциональных блоков и состав формируют согласно предпочтениям Заказчика. Все приборы должны быть оптимизированы для совместной работы с эндоскопическим оборудованием без или с дополнительными адаптерами.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пункту </w:t>
      </w:r>
      <w:r>
        <w:rPr>
          <w:rStyle w:val="CharStyle13"/>
          <w:lang w:val="en-US" w:eastAsia="en-US"/>
        </w:rPr>
        <w:t xml:space="preserve">4.3.1 </w:t>
      </w:r>
      <w:r>
        <w:rPr>
          <w:rStyle w:val="CharStyle13"/>
        </w:rPr>
        <w:t xml:space="preserve">ГОСТ Р </w:t>
      </w:r>
      <w:r>
        <w:rPr>
          <w:rStyle w:val="CharStyle13"/>
          <w:lang w:val="en-US" w:eastAsia="en-US"/>
        </w:rPr>
        <w:t xml:space="preserve">56278-2014 </w:t>
      </w:r>
      <w:r>
        <w:rPr>
          <w:rStyle w:val="CharStyle13"/>
        </w:rPr>
        <w:t>ВЭ комплексы должны иметь приборный состав и технические характеристики для выполнения, предусмотренного поставщиком назначения и применения в нормальных условиях их эксплуатации.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Таблице пункта </w:t>
      </w:r>
      <w:r>
        <w:rPr>
          <w:rStyle w:val="CharStyle13"/>
          <w:lang w:val="en-US" w:eastAsia="en-US"/>
        </w:rPr>
        <w:t xml:space="preserve">4.3.2 </w:t>
      </w:r>
      <w:r>
        <w:rPr>
          <w:rStyle w:val="CharStyle13"/>
        </w:rPr>
        <w:t xml:space="preserve">ГОСТ Р </w:t>
      </w:r>
      <w:r>
        <w:rPr>
          <w:rStyle w:val="CharStyle13"/>
          <w:lang w:val="en-US" w:eastAsia="en-US"/>
        </w:rPr>
        <w:t xml:space="preserve">56278-2014 </w:t>
      </w:r>
      <w:r>
        <w:rPr>
          <w:rStyle w:val="CharStyle13"/>
        </w:rPr>
        <w:t xml:space="preserve">указан перечень рекомендуемой комплектации видеоэндоскопического комплекса, включающего монитор и видеопроцессор. В то же время, в примечании к данной таблице указано, что допускается включение и/или исключение рекомендуемых требований в тендере на закупку ВЭ комплекса, приведенных в таблице </w:t>
      </w:r>
      <w:r>
        <w:rPr>
          <w:rStyle w:val="CharStyle13"/>
          <w:lang w:val="en-US" w:eastAsia="en-US"/>
        </w:rPr>
        <w:t xml:space="preserve">1 </w:t>
      </w:r>
      <w:r>
        <w:rPr>
          <w:rStyle w:val="CharStyle13"/>
        </w:rPr>
        <w:t>по согласованию с Заказчиком в соответствии с предусмотренным применением в</w:t>
      </w:r>
      <w:r>
        <w:br w:type="page"/>
      </w:r>
    </w:p>
    <w:p>
      <w:pPr>
        <w:pStyle w:val="Style12"/>
        <w:keepNext w:val="0"/>
        <w:keepLines w:val="0"/>
        <w:widowControl w:val="0"/>
        <w:shd w:val="clear" w:color="auto" w:fill="auto"/>
        <w:bidi w:val="0"/>
        <w:spacing w:before="0" w:after="0" w:line="240" w:lineRule="auto"/>
        <w:ind w:left="0" w:right="0" w:firstLine="0"/>
        <w:jc w:val="left"/>
      </w:pPr>
      <w:r>
        <w:rPr>
          <w:rStyle w:val="CharStyle13"/>
        </w:rPr>
        <w:t>медицинском учреждении.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Как отмечено ранее, стандарт оснащения эндоскопического кабинета предусмотрен Правилами </w:t>
      </w:r>
      <w:r>
        <w:rPr>
          <w:rStyle w:val="CharStyle13"/>
          <w:lang w:val="en-US" w:eastAsia="en-US"/>
        </w:rPr>
        <w:t xml:space="preserve">№ </w:t>
      </w:r>
      <w:r>
        <w:rPr>
          <w:rStyle w:val="CharStyle13"/>
        </w:rPr>
        <w:t>974н.</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Приложением </w:t>
      </w:r>
      <w:r>
        <w:rPr>
          <w:rStyle w:val="CharStyle13"/>
          <w:lang w:val="en-US" w:eastAsia="en-US"/>
        </w:rPr>
        <w:t xml:space="preserve">№ 3 </w:t>
      </w:r>
      <w:r>
        <w:rPr>
          <w:rStyle w:val="CharStyle13"/>
        </w:rPr>
        <w:t xml:space="preserve">к Правилами </w:t>
      </w:r>
      <w:r>
        <w:rPr>
          <w:rStyle w:val="CharStyle13"/>
          <w:lang w:val="en-US" w:eastAsia="en-US"/>
        </w:rPr>
        <w:t xml:space="preserve">№ </w:t>
      </w:r>
      <w:r>
        <w:rPr>
          <w:rStyle w:val="CharStyle13"/>
        </w:rPr>
        <w:t>974н является Стандарт оснащения эндоскопического кабинета, которым предусмотрено следующее обязательное оснащение эндоскопического кабинета системой эндоскопической.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Таким образом, вышеупомянутый Стандарт оснащения разграничивает видеоэндоскопическую систему, видеопроцессор, эндоскоп и монитор в качестве отдельных позиций оснащения.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положениям Постановления </w:t>
      </w:r>
      <w:r>
        <w:rPr>
          <w:rStyle w:val="CharStyle13"/>
          <w:lang w:val="en-US" w:eastAsia="en-US"/>
        </w:rPr>
        <w:t xml:space="preserve">№ 620 </w:t>
      </w:r>
      <w:r>
        <w:rPr>
          <w:rStyle w:val="CharStyle13"/>
        </w:rPr>
        <w:t>предметом одного контракта (одного лота) не могут быть медицинские изделия различных видов, не имеющие между собой какой-либо взаимосвязи либо единого функционального предназначения.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Комиссия отмечает, что наличие в составе системы эндоскопической визуализации комплектующих, относящихся к разным видам НКМИ, не лишает ее статуса единого комплекса с кодом </w:t>
      </w:r>
      <w:r>
        <w:rPr>
          <w:rStyle w:val="CharStyle13"/>
          <w:lang w:val="en-US" w:eastAsia="en-US"/>
        </w:rPr>
        <w:t>271790.</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Аналогичная позиция изложена в судебной практике, например, в решение УФАС по Приморскомут краю от </w:t>
      </w:r>
      <w:r>
        <w:rPr>
          <w:rStyle w:val="CharStyle13"/>
          <w:lang w:val="en-US" w:eastAsia="en-US"/>
        </w:rPr>
        <w:t xml:space="preserve">02 </w:t>
      </w:r>
      <w:r>
        <w:rPr>
          <w:rStyle w:val="CharStyle13"/>
        </w:rPr>
        <w:t xml:space="preserve">апреля </w:t>
      </w:r>
      <w:r>
        <w:rPr>
          <w:rStyle w:val="CharStyle13"/>
          <w:lang w:val="en-US" w:eastAsia="en-US"/>
        </w:rPr>
        <w:t xml:space="preserve">2025 </w:t>
      </w:r>
      <w:r>
        <w:rPr>
          <w:rStyle w:val="CharStyle13"/>
        </w:rPr>
        <w:t xml:space="preserve">года </w:t>
      </w:r>
      <w:r>
        <w:rPr>
          <w:rStyle w:val="CharStyle13"/>
          <w:lang w:val="en-US" w:eastAsia="en-US"/>
        </w:rPr>
        <w:t>№ 025/06/29-264/2025.</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Вопреки позиции Подателя жалобы, при взаимосвязанном толковании положений Постановления </w:t>
      </w:r>
      <w:r>
        <w:rPr>
          <w:rStyle w:val="CharStyle13"/>
          <w:lang w:val="en-US" w:eastAsia="en-US"/>
        </w:rPr>
        <w:t xml:space="preserve">№ 620, </w:t>
      </w:r>
      <w:r>
        <w:rPr>
          <w:rStyle w:val="CharStyle13"/>
        </w:rPr>
        <w:t xml:space="preserve">ГОСТ Р </w:t>
      </w:r>
      <w:r>
        <w:rPr>
          <w:rStyle w:val="CharStyle13"/>
          <w:lang w:val="en-US" w:eastAsia="en-US"/>
        </w:rPr>
        <w:t xml:space="preserve">56278-2014, </w:t>
      </w:r>
      <w:r>
        <w:rPr>
          <w:rStyle w:val="CharStyle13"/>
        </w:rPr>
        <w:t xml:space="preserve">Приказа </w:t>
      </w:r>
      <w:r>
        <w:rPr>
          <w:rStyle w:val="CharStyle13"/>
          <w:lang w:val="en-US" w:eastAsia="en-US"/>
        </w:rPr>
        <w:t xml:space="preserve">№ </w:t>
      </w:r>
      <w:r>
        <w:rPr>
          <w:rStyle w:val="CharStyle13"/>
        </w:rPr>
        <w:t>974н следует вывод, что действующим законодательством не установлен запрет приобретения сложного медицинского изделия в частичной комплектации, обусловленной потребностью Заказчика.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Таким образом, Комиссия, анализируя вышеизложенное, делает вывод о том, что аукционная комиссия правомерно приняла решение о признании заявки несоответствующей требованиям извещения, а довод Подателя жалобы не нашел своего подтверждения.</w:t>
      </w:r>
    </w:p>
    <w:p>
      <w:pPr>
        <w:pStyle w:val="Style12"/>
        <w:keepNext w:val="0"/>
        <w:keepLines w:val="0"/>
        <w:widowControl w:val="0"/>
        <w:shd w:val="clear" w:color="auto" w:fill="auto"/>
        <w:bidi w:val="0"/>
        <w:spacing w:before="0" w:after="260" w:line="240" w:lineRule="auto"/>
        <w:ind w:left="0" w:right="0" w:firstLine="760"/>
        <w:jc w:val="both"/>
      </w:pPr>
      <w:r>
        <w:rPr>
          <w:rStyle w:val="CharStyle13"/>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частями </w:t>
      </w:r>
      <w:r>
        <w:rPr>
          <w:rStyle w:val="CharStyle13"/>
          <w:lang w:val="en-US" w:eastAsia="en-US"/>
        </w:rPr>
        <w:t xml:space="preserve">3, 8, 15 </w:t>
      </w:r>
      <w:r>
        <w:rPr>
          <w:rStyle w:val="CharStyle13"/>
        </w:rPr>
        <w:t xml:space="preserve">статьи </w:t>
      </w:r>
      <w:r>
        <w:rPr>
          <w:rStyle w:val="CharStyle13"/>
          <w:lang w:val="en-US" w:eastAsia="en-US"/>
        </w:rPr>
        <w:t xml:space="preserve">99, </w:t>
      </w:r>
      <w:r>
        <w:rPr>
          <w:rStyle w:val="CharStyle13"/>
        </w:rPr>
        <w:t xml:space="preserve">частью </w:t>
      </w:r>
      <w:r>
        <w:rPr>
          <w:rStyle w:val="CharStyle13"/>
          <w:lang w:val="en-US" w:eastAsia="en-US"/>
        </w:rPr>
        <w:t xml:space="preserve">8 </w:t>
      </w:r>
      <w:r>
        <w:rPr>
          <w:rStyle w:val="CharStyle13"/>
        </w:rPr>
        <w:t xml:space="preserve">статьи </w:t>
      </w:r>
      <w:r>
        <w:rPr>
          <w:rStyle w:val="CharStyle13"/>
          <w:lang w:val="en-US" w:eastAsia="en-US"/>
        </w:rPr>
        <w:t xml:space="preserve">106 </w:t>
      </w:r>
      <w:r>
        <w:rPr>
          <w:rStyle w:val="CharStyle13"/>
        </w:rPr>
        <w:t>Закона о контрактной системе Комиссия Красноярского УФАС России</w:t>
      </w:r>
    </w:p>
    <w:p>
      <w:pPr>
        <w:pStyle w:val="Style12"/>
        <w:keepNext w:val="0"/>
        <w:keepLines w:val="0"/>
        <w:widowControl w:val="0"/>
        <w:shd w:val="clear" w:color="auto" w:fill="auto"/>
        <w:bidi w:val="0"/>
        <w:spacing w:before="0" w:after="260" w:line="240" w:lineRule="auto"/>
        <w:ind w:left="0" w:right="0" w:firstLine="0"/>
        <w:jc w:val="center"/>
      </w:pPr>
      <w:r>
        <w:rPr>
          <w:rStyle w:val="CharStyle13"/>
        </w:rPr>
        <w:t>РЕШИЛА: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Признать жалобу ООО «КрасМедСервис» необоснованной.</w:t>
      </w:r>
    </w:p>
    <w:p>
      <w:pPr>
        <w:pStyle w:val="Style12"/>
        <w:keepNext w:val="0"/>
        <w:keepLines w:val="0"/>
        <w:widowControl w:val="0"/>
        <w:shd w:val="clear" w:color="auto" w:fill="auto"/>
        <w:bidi w:val="0"/>
        <w:spacing w:before="0" w:after="540" w:line="240" w:lineRule="auto"/>
        <w:ind w:left="0" w:right="0" w:firstLine="760"/>
        <w:jc w:val="both"/>
      </w:pPr>
      <w:r>
        <w:rPr>
          <w:rStyle w:val="CharStyle13"/>
        </w:rPr>
        <w:t>Настоящее решение может быть обжаловано в Арбитражный суд Красноярского края в течение трех месяцев со дня его принятия.</w:t>
      </w:r>
    </w:p>
    <w:p>
      <w:pPr>
        <w:pStyle w:val="Style12"/>
        <w:keepNext w:val="0"/>
        <w:keepLines w:val="0"/>
        <w:widowControl w:val="0"/>
        <w:shd w:val="clear" w:color="auto" w:fill="auto"/>
        <w:bidi w:val="0"/>
        <w:spacing w:before="0" w:after="540" w:line="240" w:lineRule="auto"/>
        <w:ind w:left="0" w:right="0" w:firstLine="0"/>
        <w:jc w:val="left"/>
      </w:pPr>
      <w:r>
        <mc:AlternateContent>
          <mc:Choice Requires="wps">
            <w:drawing>
              <wp:anchor distT="0" distB="548640" distL="114300" distR="114300" simplePos="0" relativeHeight="125829379" behindDoc="0" locked="0" layoutInCell="1" allowOverlap="1">
                <wp:simplePos x="0" y="0"/>
                <wp:positionH relativeFrom="page">
                  <wp:posOffset>6187440</wp:posOffset>
                </wp:positionH>
                <wp:positionV relativeFrom="paragraph">
                  <wp:posOffset>12700</wp:posOffset>
                </wp:positionV>
                <wp:extent cx="1027430" cy="225425"/>
                <wp:wrapSquare wrapText="bothSides"/>
                <wp:docPr id="9" name="Shape 9"/>
                <a:graphic xmlns:a="http://schemas.openxmlformats.org/drawingml/2006/main">
                  <a:graphicData uri="http://schemas.microsoft.com/office/word/2010/wordprocessingShape">
                    <wps:wsp>
                      <wps:cNvSpPr txBox="1"/>
                      <wps:spPr>
                        <a:xfrm>
                          <a:ext cx="1027430" cy="22542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М.А. Дударева</w:t>
                            </w:r>
                          </w:p>
                        </w:txbxContent>
                      </wps:txbx>
                      <wps:bodyPr wrap="none" lIns="0" tIns="0" rIns="0" bIns="0">
                        <a:noAutoFit/>
                      </wps:bodyPr>
                    </wps:wsp>
                  </a:graphicData>
                </a:graphic>
              </wp:anchor>
            </w:drawing>
          </mc:Choice>
          <mc:Fallback>
            <w:pict>
              <v:shape id="_x0000_s1035" type="#_x0000_t202" style="position:absolute;margin-left:487.19999999999999pt;margin-top:1.pt;width:80.900000000000006pt;height:17.75pt;z-index:-125829374;mso-wrap-distance-left:9.pt;mso-wrap-distance-right:9.pt;mso-wrap-distance-bottom:43.200000000000003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М.А. Дударева</w:t>
                      </w:r>
                    </w:p>
                  </w:txbxContent>
                </v:textbox>
                <w10:wrap type="square" anchorx="page"/>
              </v:shape>
            </w:pict>
          </mc:Fallback>
        </mc:AlternateContent>
      </w:r>
      <w:r>
        <mc:AlternateContent>
          <mc:Choice Requires="wps">
            <w:drawing>
              <wp:anchor distT="548640" distB="0" distL="229870" distR="135890" simplePos="0" relativeHeight="125829381" behindDoc="0" locked="0" layoutInCell="1" allowOverlap="1">
                <wp:simplePos x="0" y="0"/>
                <wp:positionH relativeFrom="page">
                  <wp:posOffset>6303010</wp:posOffset>
                </wp:positionH>
                <wp:positionV relativeFrom="paragraph">
                  <wp:posOffset>561340</wp:posOffset>
                </wp:positionV>
                <wp:extent cx="890270" cy="225425"/>
                <wp:wrapSquare wrapText="bothSides"/>
                <wp:docPr id="11" name="Shape 11"/>
                <a:graphic xmlns:a="http://schemas.openxmlformats.org/drawingml/2006/main">
                  <a:graphicData uri="http://schemas.microsoft.com/office/word/2010/wordprocessingShape">
                    <wps:wsp>
                      <wps:cNvSpPr txBox="1"/>
                      <wps:spPr>
                        <a:xfrm>
                          <a:ext cx="890270" cy="22542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М.А. Грицай</w:t>
                            </w:r>
                          </w:p>
                        </w:txbxContent>
                      </wps:txbx>
                      <wps:bodyPr wrap="none" lIns="0" tIns="0" rIns="0" bIns="0">
                        <a:noAutoFit/>
                      </wps:bodyPr>
                    </wps:wsp>
                  </a:graphicData>
                </a:graphic>
              </wp:anchor>
            </w:drawing>
          </mc:Choice>
          <mc:Fallback>
            <w:pict>
              <v:shape id="_x0000_s1037" type="#_x0000_t202" style="position:absolute;margin-left:496.30000000000001pt;margin-top:44.200000000000003pt;width:70.100000000000009pt;height:17.75pt;z-index:-125829372;mso-wrap-distance-left:18.100000000000001pt;mso-wrap-distance-top:43.200000000000003pt;mso-wrap-distance-right:10.7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М.А. Грицай</w:t>
                      </w:r>
                    </w:p>
                  </w:txbxContent>
                </v:textbox>
                <w10:wrap type="square" anchorx="page"/>
              </v:shape>
            </w:pict>
          </mc:Fallback>
        </mc:AlternateContent>
      </w:r>
      <w:r>
        <w:rPr>
          <w:rStyle w:val="CharStyle13"/>
        </w:rPr>
        <w:t>Председатель Комиссии</w:t>
      </w:r>
    </w:p>
    <w:p>
      <w:pPr>
        <w:pStyle w:val="Style12"/>
        <w:keepNext w:val="0"/>
        <w:keepLines w:val="0"/>
        <w:widowControl w:val="0"/>
        <w:shd w:val="clear" w:color="auto" w:fill="auto"/>
        <w:bidi w:val="0"/>
        <w:spacing w:before="0" w:after="540" w:line="240" w:lineRule="auto"/>
        <w:ind w:left="0" w:right="0" w:firstLine="0"/>
        <w:jc w:val="left"/>
      </w:pPr>
      <w:r>
        <w:rPr>
          <w:rStyle w:val="CharStyle13"/>
        </w:rPr>
        <w:t>Члены Комиссии</w:t>
      </w:r>
    </w:p>
    <w:p>
      <w:pPr>
        <w:pStyle w:val="Style12"/>
        <w:keepNext w:val="0"/>
        <w:keepLines w:val="0"/>
        <w:widowControl w:val="0"/>
        <w:shd w:val="clear" w:color="auto" w:fill="auto"/>
        <w:bidi w:val="0"/>
        <w:spacing w:before="0" w:after="260" w:line="240" w:lineRule="auto"/>
        <w:ind w:left="0" w:right="0" w:firstLine="0"/>
        <w:jc w:val="right"/>
      </w:pPr>
      <w:r>
        <w:rPr>
          <w:rStyle w:val="CharStyle13"/>
        </w:rPr>
        <w:t>Д.Н. Пелевина</w:t>
      </w:r>
    </w:p>
    <w:p>
      <w:pPr>
        <w:pStyle w:val="Style14"/>
        <w:keepNext w:val="0"/>
        <w:keepLines w:val="0"/>
        <w:widowControl w:val="0"/>
        <w:shd w:val="clear" w:color="auto" w:fill="auto"/>
        <w:bidi w:val="0"/>
        <w:spacing w:before="0" w:line="240" w:lineRule="auto"/>
        <w:ind w:left="0" w:right="0" w:firstLine="0"/>
        <w:jc w:val="left"/>
      </w:pPr>
      <w:r>
        <w:rPr>
          <w:rStyle w:val="CharStyle15"/>
        </w:rPr>
        <w:t xml:space="preserve">Исп.Пелевина Д.Н. тел. </w:t>
      </w:r>
      <w:r>
        <w:rPr>
          <w:rStyle w:val="CharStyle15"/>
          <w:lang w:val="en-US" w:eastAsia="en-US"/>
        </w:rPr>
        <w:t>(391) 211-01-44</w:t>
      </w:r>
    </w:p>
    <w:sectPr>
      <w:footnotePr>
        <w:pos w:val="pageBottom"/>
        <w:numFmt w:val="decimal"/>
        <w:numRestart w:val="continuous"/>
      </w:footnotePr>
      <w:type w:val="continuous"/>
      <w:pgSz w:w="11900" w:h="16840"/>
      <w:pgMar w:top="574" w:right="542" w:bottom="1218" w:left="1104"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727075</wp:posOffset>
              </wp:positionH>
              <wp:positionV relativeFrom="page">
                <wp:posOffset>9983470</wp:posOffset>
              </wp:positionV>
              <wp:extent cx="722630" cy="128270"/>
              <wp:wrapNone/>
              <wp:docPr id="3" name="Shape 3"/>
              <a:graphic xmlns:a="http://schemas.openxmlformats.org/drawingml/2006/main">
                <a:graphicData uri="http://schemas.microsoft.com/office/word/2010/wordprocessingShape">
                  <wps:wsp>
                    <wps:cNvSpPr txBox="1"/>
                    <wps:spPr>
                      <a:xfrm>
                        <a:ext cx="72263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2025-17549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25pt;margin-top:786.10000000000002pt;width:56.899999999999999pt;height:10.1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2025-17549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9851390</wp:posOffset>
              </wp:positionV>
              <wp:extent cx="722630" cy="128270"/>
              <wp:wrapNone/>
              <wp:docPr id="5" name="Shape 5"/>
              <a:graphic xmlns:a="http://schemas.openxmlformats.org/drawingml/2006/main">
                <a:graphicData uri="http://schemas.microsoft.com/office/word/2010/wordprocessingShape">
                  <wps:wsp>
                    <wps:cNvSpPr txBox="1"/>
                    <wps:spPr>
                      <a:xfrm>
                        <a:ext cx="72263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2025-17549</w:t>
                          </w:r>
                        </w:p>
                      </w:txbxContent>
                    </wps:txbx>
                    <wps:bodyPr wrap="none" lIns="0" tIns="0" rIns="0" bIns="0">
                      <a:spAutoFit/>
                    </wps:bodyPr>
                  </wps:wsp>
                </a:graphicData>
              </a:graphic>
            </wp:anchor>
          </w:drawing>
        </mc:Choice>
        <mc:Fallback>
          <w:pict>
            <v:shape id="_x0000_s1031" type="#_x0000_t202" style="position:absolute;margin-left:57.25pt;margin-top:775.70000000000005pt;width:56.899999999999999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2025-17549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1">
    <w:name w:val="Picture caption_"/>
    <w:basedOn w:val="DefaultParagraphFont"/>
    <w:link w:val="Style10"/>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5">
    <w:name w:val="Body text (3)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8">
    <w:name w:val="Body text (4)"/>
    <w:basedOn w:val="Normal"/>
    <w:link w:val="CharStyle9"/>
    <w:pPr>
      <w:widowControl w:val="0"/>
      <w:shd w:val="clear" w:color="auto" w:fill="auto"/>
      <w:spacing w:after="240"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customStyle="1" w:styleId="Style10">
    <w:name w:val="Picture caption"/>
    <w:basedOn w:val="Normal"/>
    <w:link w:val="CharStyle11"/>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4">
    <w:name w:val="Body text (3)"/>
    <w:basedOn w:val="Normal"/>
    <w:link w:val="CharStyle15"/>
    <w:pPr>
      <w:widowControl w:val="0"/>
      <w:shd w:val="clear" w:color="auto" w:fill="auto"/>
      <w:spacing w:after="400"/>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png"/><Relationship Id="rId12" Type="http://schemas.openxmlformats.org/officeDocument/2006/relationships/image" Target="media/image3.png" TargetMode="External"/></Relationships>
</file>