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385" w:right="536" w:bottom="943" w:left="108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737235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39370</wp:posOffset>
                </wp:positionV>
                <wp:extent cx="2581910" cy="218567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85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Нижегородской области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пл. Горького, 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г. Нижний Новгород, 603000</w:t>
                              <w:br/>
                              <w:t>тел. (831) 431-73-73, (831) 431-73-83</w:t>
                              <w:br/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 xml:space="preserve">e-mail: to52@,fas, </w:t>
                            </w:r>
                            <w:r>
                              <w:rPr>
                                <w:rStyle w:val="CharStyle6"/>
                                <w:u w:val="single"/>
                                <w:lang w:val="en-US" w:eastAsia="en-US"/>
                              </w:rPr>
                              <w:t>gov.ru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6.75pt;margin-top:3.1000000000000001pt;width:203.30000000000001pt;height:172.09999999999999pt;z-index:-125829375;mso-wrap-distance-left:9.pt;mso-wrap-distance-right:9.pt;mso-wrap-distance-bottom:58.05000000000000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Нижегородской области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пл. Горького, 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г. Нижний Новгород, 603000</w:t>
                        <w:br/>
                        <w:t>тел. (831) 431-73-73, (831) 431-73-83</w:t>
                        <w:br/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 xml:space="preserve">e-mail: to52@,fas, </w:t>
                      </w:r>
                      <w:r>
                        <w:rPr>
                          <w:rStyle w:val="CharStyle6"/>
                          <w:u w:val="single"/>
                          <w:lang w:val="en-US" w:eastAsia="en-US"/>
                        </w:rPr>
                        <w:t>gov.ru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529840" distB="0" distL="160020" distR="127000" simplePos="0" relativeHeight="125829380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paragraph">
                  <wp:posOffset>2569210</wp:posOffset>
                </wp:positionV>
                <wp:extent cx="2523490" cy="39306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3490" cy="3930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О признании жалобы необоснованной №052/06/105-2607/2025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350000000000001pt;margin-top:202.30000000000001pt;width:198.70000000000002pt;height:30.949999999999999pt;z-index:-125829373;mso-wrap-distance-left:12.6pt;mso-wrap-distance-top:199.20000000000002pt;mso-wrap-distance-right:10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О признании жалобы необоснованной №052/06/105-2607/2025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ООО "ВЕКТОР"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г. Москва, ул. Авиационная, д. 70, К. 4,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КВ.ЮФ. 42.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"mailto:vektor-torgy@rambler.ru"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vektor-torgy@rambler.ru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ГП НО "Нижегородская областная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фармация"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603001, г.Нижний Новгород, ул.Почаинская, д.14А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nof@gpnof.ru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>ЭТП Газпромбанк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left"/>
        <w:rPr>
          <w:sz w:val="28"/>
          <w:szCs w:val="28"/>
        </w:rPr>
      </w:pPr>
      <w:r>
        <w:rPr>
          <w:rStyle w:val="CharStyle12"/>
          <w:sz w:val="28"/>
          <w:szCs w:val="28"/>
        </w:rPr>
        <w:t xml:space="preserve">117342, город Москва, Миклухо-Маклая улица, дом 40, подвал помещение </w:t>
      </w:r>
      <w:r>
        <w:rPr>
          <w:rStyle w:val="CharStyle12"/>
          <w:sz w:val="28"/>
          <w:szCs w:val="28"/>
          <w:lang w:val="en-US" w:eastAsia="en-US"/>
        </w:rPr>
        <w:t xml:space="preserve">I </w:t>
      </w:r>
      <w:r>
        <w:rPr>
          <w:rStyle w:val="CharStyle12"/>
          <w:sz w:val="28"/>
          <w:szCs w:val="28"/>
        </w:rPr>
        <w:t>ком 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34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info@etpgpb.ru</w:t>
      </w:r>
      <w:r>
        <w:fldChar w:fldCharType="end"/>
      </w:r>
      <w:r>
        <w:rPr>
          <w:rStyle w:val="CharStyle12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"mailto:marketing@etpgpb.ru" </w:instrText>
      </w:r>
      <w:r>
        <w:fldChar w:fldCharType="separate"/>
      </w:r>
      <w:r>
        <w:rPr>
          <w:rStyle w:val="CharStyle12"/>
          <w:sz w:val="28"/>
          <w:szCs w:val="28"/>
          <w:lang w:val="en-US" w:eastAsia="en-US"/>
        </w:rPr>
        <w:t>marketing@etpgpb.ru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 по делу №052/06/105-2607/2025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о проведении проверки соблюдения законодательства о контрактной системе в сфере</w:t>
        <w:br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736" w:val="left"/>
        </w:tabs>
        <w:bidi w:val="0"/>
        <w:spacing w:before="0" w:after="280" w:line="240" w:lineRule="auto"/>
        <w:ind w:left="0" w:right="0" w:firstLine="560"/>
        <w:jc w:val="left"/>
      </w:pPr>
      <w:r>
        <w:rPr>
          <w:rStyle w:val="CharStyle12"/>
        </w:rPr>
        <w:t>01 октября 2025 года</w:t>
        <w:tab/>
        <w:t>г. Нижний Новгород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  <w:color w:val="0C0C0C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60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Канаева И.С.,</w:t>
        <w:tab/>
        <w:t>- председателя Комиссии, заместителя руководителя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</w:pPr>
      <w:r>
        <w:rPr>
          <w:rStyle w:val="CharStyle12"/>
        </w:rPr>
        <w:t>управления,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60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Королева И.А.,</w:t>
        <w:tab/>
        <w:t>- члена Комиссии, начальника отдела контроля торгов,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60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Колденкова Д.А.,</w:t>
        <w:tab/>
        <w:t>- члена Комиссии, специалиста-эксперта отдела контроля торгов,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rStyle w:val="CharStyle12"/>
        </w:rPr>
        <w:t>при участии: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hanging="3000"/>
        <w:jc w:val="both"/>
      </w:pPr>
      <w:r>
        <w:rPr>
          <w:rStyle w:val="CharStyle12"/>
        </w:rPr>
        <w:t>Кондратьева О.А. - представителя ГП НО «НОФ» (доверенность №31/12 от 21.12.2024),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283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Степанова А.В.</w:t>
        <w:tab/>
        <w:t>представителя ООО «ВЕКТОР» (доверенность от 24.04.2025),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52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рассмотрев жалобу ООО «ВЕКТОР» (далее - Заявитель) на действия ГП НО «НОФ» (далее - Заказчик) при проведении запроса котировок в электронной форме по объекту закупки:</w:t>
        <w:tab/>
        <w:t>«Ц-2394_Закупка медицинских изделий», номер извещения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№0432200000825002201 (далее - Закупка),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80" w:right="0" w:firstLine="0"/>
        <w:jc w:val="left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в Управление Федеральной антимонопольной службы по Нижегородской области (далее также - Нижегородское УФАС России, Управление) поступила жалоба Заявителя на Заказчика в части установления положений извещения об осуществления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36" w:bottom="1043" w:left="1087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Нижегородское УФАС России приняло к рассмотрению жалобу Заявителя и назначило её рассмотрение на 01.10.2025 (уведомление о рассмотрении жалобы от 26.09.2025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№ИК/20502/25). </w:t>
      </w:r>
      <w:r>
        <w:rPr>
          <w:rStyle w:val="CharStyle12"/>
          <w:lang w:val="en-US" w:eastAsia="en-US"/>
        </w:rPr>
        <w:t xml:space="preserve">01.10.2025 </w:t>
      </w:r>
      <w:r>
        <w:rPr>
          <w:rStyle w:val="CharStyle12"/>
        </w:rPr>
        <w:t>жалоба была рассмотрена по существу посредством видео- конференц связи.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В ходе заседания Комиссии представитель Заказчика пояснил, что с доводами жалобы не согласен, письменные пояснения поддержал в полном объеме.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2"/>
          <w:lang w:val="en-US" w:eastAsia="en-US"/>
        </w:rPr>
        <w:t xml:space="preserve">15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системе, пришла к следующим выводам.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Размещен документ «Извещение о проведении запроса котировок в электронной форме» от </w:t>
      </w:r>
      <w:r>
        <w:rPr>
          <w:rStyle w:val="CharStyle12"/>
          <w:lang w:val="en-US" w:eastAsia="en-US"/>
        </w:rPr>
        <w:t>23.09.2025;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9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способ определения поставщика (подрядчика, исполнителя)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запрос котировок в электронной форме;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начальная (максимальная) цена контракта </w:t>
      </w:r>
      <w:r>
        <w:rPr>
          <w:rStyle w:val="CharStyle12"/>
          <w:lang w:val="en-US" w:eastAsia="en-US"/>
        </w:rPr>
        <w:t xml:space="preserve">– 4 800 000,00 </w:t>
      </w:r>
      <w:r>
        <w:rPr>
          <w:rStyle w:val="CharStyle12"/>
        </w:rPr>
        <w:t>рублей;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05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дата окончания срока подачи заявок на участие в Закупке </w:t>
      </w:r>
      <w:r>
        <w:rPr>
          <w:rStyle w:val="CharStyle12"/>
          <w:lang w:val="en-US" w:eastAsia="en-US"/>
        </w:rPr>
        <w:t>– 30.09.2025;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дата подведения итогов определения поставщика (подрядчика, исполнителя) </w:t>
      </w:r>
      <w:r>
        <w:rPr>
          <w:rStyle w:val="CharStyle12"/>
          <w:lang w:val="en-US" w:eastAsia="en-US"/>
        </w:rPr>
        <w:t>— 02.10.2025.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В своей жалобе Заявитель сообщает, что: </w:t>
      </w:r>
      <w:r>
        <w:rPr>
          <w:rStyle w:val="CharStyle12"/>
          <w:i/>
          <w:iCs/>
        </w:rPr>
        <w:t>«Заказчиком указаны параметры, под совокупность которых попадает только одно изделие: «Токсипак», производитель ООО НПФ «ПОКАРД», Россия</w:t>
      </w:r>
      <w:r>
        <w:rPr>
          <w:rStyle w:val="CharStyle12"/>
          <w:i/>
          <w:iCs/>
          <w:lang w:val="en-US" w:eastAsia="en-US"/>
        </w:rPr>
        <w:t>...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</w:rPr>
        <w:t>ООО «Вектор» провел анализ Инструкций, размещенных на официальном сайте Росздравнадзора (далее-Инструкция), в результате чего представляется возможным сделать однозначный вывод о том, что названные медицинские изделия отвечает всеми своими характеристиками в их совокупности конкретному одному изделию.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  <w:lang w:val="en-US" w:eastAsia="en-US"/>
        </w:rPr>
        <w:t>...</w:t>
      </w:r>
      <w:r>
        <w:rPr>
          <w:rStyle w:val="CharStyle12"/>
          <w:i/>
          <w:iCs/>
        </w:rPr>
        <w:t xml:space="preserve">Заказчик формально усредняется между двумя продуктами, где первый это «Токсипак» и его совокупные характеристики указаны в техническом задании, а вторым продуктом мог бы быть продукт </w:t>
      </w:r>
      <w:r>
        <w:rPr>
          <w:rStyle w:val="CharStyle12"/>
          <w:i/>
          <w:iCs/>
          <w:lang w:val="en-US" w:eastAsia="en-US"/>
        </w:rPr>
        <w:t xml:space="preserve">TORAYMYXIN PMX-20R («Toray Industries, Inc.», </w:t>
      </w:r>
      <w:r>
        <w:rPr>
          <w:rStyle w:val="CharStyle12"/>
          <w:i/>
          <w:iCs/>
        </w:rPr>
        <w:t xml:space="preserve">Япония), японской химической корпорации </w:t>
      </w:r>
      <w:r>
        <w:rPr>
          <w:rStyle w:val="CharStyle12"/>
          <w:i/>
          <w:iCs/>
          <w:lang w:val="en-US" w:eastAsia="en-US"/>
        </w:rPr>
        <w:t>Toray Industries.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</w:rPr>
        <w:t xml:space="preserve">Однако, в инструкции к </w:t>
      </w:r>
      <w:r>
        <w:rPr>
          <w:rStyle w:val="CharStyle12"/>
          <w:i/>
          <w:iCs/>
          <w:lang w:val="en-US" w:eastAsia="en-US"/>
        </w:rPr>
        <w:t xml:space="preserve">TORAYMYXIN PMX-20R, </w:t>
      </w:r>
      <w:r>
        <w:rPr>
          <w:rStyle w:val="CharStyle12"/>
          <w:i/>
          <w:iCs/>
        </w:rPr>
        <w:t xml:space="preserve">отсутствует информация об объеме колонки от слова совсем. Вместе с тем в этой же инструкции указана характеристика </w:t>
      </w:r>
      <w:r>
        <w:rPr>
          <w:rStyle w:val="CharStyle12"/>
          <w:i/>
          <w:iCs/>
          <w:lang w:val="en-US" w:eastAsia="en-US"/>
        </w:rPr>
        <w:t xml:space="preserve">– </w:t>
      </w:r>
      <w:r>
        <w:rPr>
          <w:rStyle w:val="CharStyle12"/>
          <w:i/>
          <w:iCs/>
        </w:rPr>
        <w:t xml:space="preserve">«объём сорбента» </w:t>
      </w:r>
      <w:r>
        <w:rPr>
          <w:rStyle w:val="CharStyle12"/>
          <w:i/>
          <w:iCs/>
          <w:lang w:val="en-US" w:eastAsia="en-US"/>
        </w:rPr>
        <w:t xml:space="preserve">56 </w:t>
      </w:r>
      <w:r>
        <w:rPr>
          <w:rStyle w:val="CharStyle12"/>
          <w:i/>
          <w:iCs/>
        </w:rPr>
        <w:t>г (волокна сухой вес).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</w:rPr>
        <w:t xml:space="preserve">Таким образом, товар и </w:t>
      </w:r>
      <w:r>
        <w:rPr>
          <w:rStyle w:val="CharStyle12"/>
          <w:i/>
          <w:iCs/>
          <w:lang w:val="en-US" w:eastAsia="en-US"/>
        </w:rPr>
        <w:t xml:space="preserve">TORAYMYXIN PMX-20R </w:t>
      </w:r>
      <w:r>
        <w:rPr>
          <w:rStyle w:val="CharStyle12"/>
          <w:i/>
          <w:iCs/>
        </w:rPr>
        <w:t>не попадает под запрашиваемые заказчиком характеристики.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</w:rPr>
        <w:t>Заказчик в нарушение норм действующего законодательства не указывает и документально не подтверждает, как указанные выше параметры влияют на клиническую эффективность медизделия и процедуру гемосорбции».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60"/>
        <w:jc w:val="both"/>
      </w:pPr>
      <w:r>
        <w:rPr>
          <w:rStyle w:val="CharStyle12"/>
          <w:i/>
          <w:iCs/>
        </w:rPr>
        <w:t xml:space="preserve">Также Заявитель направил дополнительные пояснения, где указан, что в техническом задании указаны параметры изделия, под которые походит один только единственный продукт </w:t>
      </w:r>
      <w:r>
        <w:rPr>
          <w:rStyle w:val="CharStyle12"/>
          <w:i/>
          <w:iCs/>
          <w:lang w:val="en-US" w:eastAsia="en-US"/>
        </w:rPr>
        <w:t xml:space="preserve">— </w:t>
      </w:r>
      <w:r>
        <w:rPr>
          <w:rStyle w:val="CharStyle12"/>
          <w:i/>
          <w:iCs/>
        </w:rPr>
        <w:t xml:space="preserve">Токсипак </w:t>
      </w:r>
      <w:r>
        <w:rPr>
          <w:rStyle w:val="CharStyle12"/>
          <w:i/>
          <w:iCs/>
          <w:lang w:val="en-US" w:eastAsia="en-US"/>
        </w:rPr>
        <w:t xml:space="preserve">300, </w:t>
      </w:r>
      <w:r>
        <w:rPr>
          <w:rStyle w:val="CharStyle12"/>
          <w:i/>
          <w:iCs/>
        </w:rPr>
        <w:t>НПФ «ПОКАРД», Россия».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Заявитель в своей жалобе делает вывод о нарушении Заказчиком требований законодательства в части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Между тем согласно Каталогу товаров, работ, услуг для обеспечения государственных и муниципальных нужд позиция КТРУ </w:t>
      </w:r>
      <w:r>
        <w:rPr>
          <w:rStyle w:val="CharStyle12"/>
          <w:lang w:val="en-US" w:eastAsia="en-US"/>
        </w:rPr>
        <w:t xml:space="preserve">32.50.50.190-00000590 </w:t>
      </w:r>
      <w:r>
        <w:rPr>
          <w:rStyle w:val="CharStyle12"/>
        </w:rPr>
        <w:t>«Колонка для системы афереза, иммуносорбционная, одноразового использования» не содержит характеристик.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При этом Заказчиком в описание объекта закупки включены множественные характеристики.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В соответствии с положениями пункта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Правил использования КТРУ, утвержденных Постановлением Правительства РФ от </w:t>
      </w:r>
      <w:r>
        <w:rPr>
          <w:rStyle w:val="CharStyle12"/>
          <w:lang w:val="en-US" w:eastAsia="en-US"/>
        </w:rPr>
        <w:t xml:space="preserve">08.02.2017 № 145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Правила), в случае осуществления закупки товара, в отношении которого в КТРУ отсутствуют соответствующие позиции, заказчик осуществляет описание такого товара в соответствии с требованиями 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44-ФЗ.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>Как пояснил представитель Заказчика в ходе заседания Комиссии «</w:t>
      </w:r>
      <w:r>
        <w:rPr>
          <w:rStyle w:val="CharStyle12"/>
          <w:i/>
          <w:iCs/>
        </w:rPr>
        <w:t>поскольку показатели, значения, используемые в КТРУ не в полной мере способны описать потребность Заказчика в функциональных, технических, качественных и иных характеристиках объекта закупки, описание объекта закупки содержит иные показатели, требования, условные обозначения и терминологию. Дополнительная информация, которая не предусмотрена в позициях КТРУ, включена Заказчиком в описание объекта закупки с целью максимально точного отражения функциональных характеристик товара».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>Данная позиция Заказчика также указана при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Согласно пункту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Правил использования каталога, Заказчики обязаны применять информацию, включенную в позицию каталога в соответствии с подпунктами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«з» пункта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февраля </w:t>
      </w:r>
      <w:r>
        <w:rPr>
          <w:rStyle w:val="CharStyle12"/>
          <w:lang w:val="en-US" w:eastAsia="en-US"/>
        </w:rPr>
        <w:t xml:space="preserve">2017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>№ 145.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Правила использования каталога не устанавливают требований к форме и содержанию указанного обоснования, в связи с чем оно составляется заказчиком самостоятельно. При этом такое обоснование должно позволять определить необходимость использования вышеуказанных дополнительных информации и свойств, поскольку подлежит составлению именно для этого. (Письмо Минфина России от </w:t>
      </w:r>
      <w:r>
        <w:rPr>
          <w:rStyle w:val="CharStyle12"/>
          <w:lang w:val="en-US" w:eastAsia="en-US"/>
        </w:rPr>
        <w:t>23.11.2023 №24-03</w:t>
        <w:softHyphen/>
        <w:t>09/112443).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Приведенное Заказчиком обоснование скорее носит формальный характер и не содержит объективной аргументации, доказывающей факт того, что установленные в извещении дополнительные потребительские свойства закупаемого товара действительно необходимы Заказчику для удовлетворения его нужд, а поставка товара с иными характеристиками и свойствами не удовлетворит потребность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>Между тем в ходе заседания Комиссии представитель Заказчика раскрыл причины необходимости включения дополнительных характеристик в состав описания объекта закупки, отметив, что «</w:t>
      </w:r>
      <w:r>
        <w:rPr>
          <w:rStyle w:val="CharStyle12"/>
          <w:i/>
          <w:iCs/>
        </w:rPr>
        <w:t xml:space="preserve">объем активного ингредиента напрямую влияет на эффективность сорбции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чем больше объем активного ингредиента, тем эффективнее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происходит сорбция и удаление целевых мишеней. Указание значения объема активного ингредиента «более </w:t>
      </w:r>
      <w:r>
        <w:rPr>
          <w:rStyle w:val="CharStyle12"/>
          <w:i/>
          <w:iCs/>
          <w:lang w:val="en-US" w:eastAsia="en-US"/>
        </w:rPr>
        <w:t xml:space="preserve">… </w:t>
      </w:r>
      <w:r>
        <w:rPr>
          <w:rStyle w:val="CharStyle12"/>
          <w:i/>
          <w:iCs/>
        </w:rPr>
        <w:t>мл» позволяет заказчику получить продукт с достаточной для лечебного процесса эффективностью, что является крайне важным показателем для лечения грамм-отрицательного сепсиса у пациентов после кардиохирургических вмешательств.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>Высокая сорбционная емкость позволяет быстро и эффективно удалять ЛПС из крови и из плазмы пациента.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  <w:i/>
          <w:iCs/>
        </w:rPr>
        <w:t xml:space="preserve">Объем колонки, такой как более </w:t>
      </w:r>
      <w:r>
        <w:rPr>
          <w:rStyle w:val="CharStyle12"/>
          <w:i/>
          <w:iCs/>
          <w:lang w:val="en-US" w:eastAsia="en-US"/>
        </w:rPr>
        <w:t xml:space="preserve">300 </w:t>
      </w:r>
      <w:r>
        <w:rPr>
          <w:rStyle w:val="CharStyle12"/>
          <w:i/>
          <w:iCs/>
        </w:rPr>
        <w:t>мл, определяет ее эффективность и безопасность в зависимости от объема крови, который может быть подвергнут процедуре, и рассчитывается индивидуально для пациента.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  <w:i/>
          <w:iCs/>
        </w:rPr>
        <w:t xml:space="preserve">Выбор объема колонки, </w:t>
      </w:r>
      <w:r>
        <w:rPr>
          <w:rStyle w:val="CharStyle12"/>
          <w:i/>
          <w:iCs/>
          <w:lang w:val="en-US" w:eastAsia="en-US"/>
        </w:rPr>
        <w:t xml:space="preserve">300 </w:t>
      </w:r>
      <w:r>
        <w:rPr>
          <w:rStyle w:val="CharStyle12"/>
          <w:i/>
          <w:iCs/>
        </w:rPr>
        <w:t>(мл), определяется индивидуальными характеристиками пациента, такими как вес, рост, пульсовое давление, динамика температуры тела, тяжесть органной дисфункции, объем циркулирующей крови и степень выраженности сепсиса</w:t>
      </w:r>
      <w:r>
        <w:rPr>
          <w:rStyle w:val="CharStyle12"/>
        </w:rPr>
        <w:t>.»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Наряду с этим представитель Заказчика поясняет, что предметом обжалуемой закупки является поставка, а не изготовление товара, в закупочной документации отсутствуют требования о том, что участник должен быть производителем товара, в связи с чем отсутствие у заявителя жалобы товара, запрашиваемого заказчиком, не свидетельствует о невозможности его приобретения заявителем в целях участия в проводимой закупке и не может рассматриваться как ограничение конкуренции.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В соответствии с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 минимальные значения таких показателей, а также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Между тем установленные в ходе внеплановой проверки нарушения не повлекли негативных последствий, в связи с чем Комиссия антимонопольного органа приняла решение об отсутствии необходимости в выдаче соответствующего предписания.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>Комиссия Нижегородского УФАС России обращает внимание, что законы о государственных закупках и о защите конкуренции, предусматривают принцип свободной конкуренции между участниками закупки/поставщиками товаров/работ/услуг, а не производителями указанных товаров работ услуг, таким образом если каждый потенциальный участник закупки имеет свободную возможность участия в закупке и поставки товара соответствующего условиям закупки, то нет оснований утверждать об ограничении конкуренции.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2"/>
        </w:rPr>
        <w:t xml:space="preserve">Таким образом, Комиссия Нижегородского УФАС России полагает, что в действиях Заказчика отсутствуют нарушения норм действующего законодательства в сфере закупок, а равным образом и в действующего законодательства о защите конкуренции. На основании изложенного и руководствуясь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15,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99, </w:t>
      </w: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системе, Комиссия Нижегородского УФАС России,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0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признать жалобу ООО «ВЕКТОР» на действия ГП НО «НОФ» при проведении запроса котировок в электронной форме по объекту закупки: «Ц-2394_Закупка медицинских изделий», номер извещения </w:t>
      </w:r>
      <w:r>
        <w:rPr>
          <w:rStyle w:val="CharStyle12"/>
          <w:lang w:val="en-US" w:eastAsia="en-US"/>
        </w:rPr>
        <w:t xml:space="preserve">№0432200000825002201, </w:t>
      </w:r>
      <w:r>
        <w:rPr>
          <w:rStyle w:val="CharStyle12"/>
        </w:rPr>
        <w:t>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Признать Заказчика нарушившим требования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42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380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>Предписание не выдавать.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>Передать материалы дела соответствующему должностному лицу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2"/>
        </w:rPr>
        <w:t xml:space="preserve">В соответствии с частью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642" w:right="533" w:bottom="1647" w:left="109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49403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</wp:posOffset>
                </wp:positionV>
                <wp:extent cx="1825625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9.pt;width:143.75pt;height:19.900000000000002pt;z-index:-125829371;mso-wrap-distance-left:0;mso-wrap-distance-top:9.pt;mso-wrap-distance-right:0;mso-wrap-distance-bottom:38.89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0835" distB="186055" distL="0" distR="1816735" simplePos="0" relativeHeight="125829384" behindDoc="0" locked="0" layoutInCell="1" allowOverlap="1">
            <wp:simplePos x="0" y="0"/>
            <wp:positionH relativeFrom="page">
              <wp:posOffset>3653155</wp:posOffset>
            </wp:positionH>
            <wp:positionV relativeFrom="paragraph">
              <wp:posOffset>330835</wp:posOffset>
            </wp:positionV>
            <wp:extent cx="298450" cy="34734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391795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18.35000000000002pt;margin-top:30.85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08660" distB="52070" distL="0" distR="0" simplePos="0" relativeHeight="125829385" behindDoc="0" locked="0" layoutInCell="1" allowOverlap="1">
                <wp:simplePos x="0" y="0"/>
                <wp:positionH relativeFrom="page">
                  <wp:posOffset>4083050</wp:posOffset>
                </wp:positionH>
                <wp:positionV relativeFrom="paragraph">
                  <wp:posOffset>708660</wp:posOffset>
                </wp:positionV>
                <wp:extent cx="1283335" cy="1003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21.5pt;margin-top:55.800000000000004pt;width:101.05pt;height:7.9000000000000004pt;z-index:-125829368;mso-wrap-distance-left:0;mso-wrap-distance-top:55.800000000000004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54050" distB="0" distL="0" distR="0" simplePos="0" relativeHeight="125829387" behindDoc="0" locked="0" layoutInCell="1" allowOverlap="1">
                <wp:simplePos x="0" y="0"/>
                <wp:positionH relativeFrom="page">
                  <wp:posOffset>6198235</wp:posOffset>
                </wp:positionH>
                <wp:positionV relativeFrom="paragraph">
                  <wp:posOffset>654050</wp:posOffset>
                </wp:positionV>
                <wp:extent cx="1021080" cy="2070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И.С. Канаева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8.05000000000001pt;margin-top:51.5pt;width:80.400000000000006pt;height:16.300000000000001pt;z-index:-125829366;mso-wrap-distance-left:0;mso-wrap-distance-top:51.5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И.С. Канаева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Канаева Ирина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00C0B702B4B52D40D7A483D5EEEFDC0E3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right="0" w:firstLine="0"/>
        <w:jc w:val="left"/>
      </w:pPr>
      <w:r>
        <w:rPr>
          <w:rStyle w:val="CharStyle23"/>
        </w:rPr>
        <w:t xml:space="preserve">Действителен с 18.09.2025 </w:t>
      </w:r>
      <w:r>
        <w:rPr>
          <w:rStyle w:val="CharStyle23"/>
          <w:color w:val="585858"/>
        </w:rPr>
        <w:t xml:space="preserve">по </w:t>
      </w:r>
      <w:r>
        <w:rPr>
          <w:rStyle w:val="CharStyle23"/>
        </w:rPr>
        <w:t>12.12.2026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both"/>
        <w:rPr>
          <w:sz w:val="28"/>
          <w:szCs w:val="28"/>
        </w:rPr>
      </w:pPr>
      <w:r>
        <w:rPr>
          <w:rStyle w:val="CharStyle12"/>
          <w:sz w:val="28"/>
          <w:szCs w:val="28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6139815</wp:posOffset>
                </wp:positionH>
                <wp:positionV relativeFrom="paragraph">
                  <wp:posOffset>266700</wp:posOffset>
                </wp:positionV>
                <wp:extent cx="1078865" cy="252730"/>
                <wp:wrapSquare wrapText="bothSides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88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И.А.Королева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83.44999999999999pt;margin-top:21.pt;width:84.950000000000003pt;height:19.900000000000002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И.А.Королева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9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534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Королёва Ирина Андреевна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00A9573900688A031F4910E25807436A28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>Действителен с 23.10.2024 по 16.01.2026</w:t>
      </w:r>
    </w:p>
    <w:p>
      <w:pPr>
        <w:widowControl w:val="0"/>
        <w:spacing w:line="1" w:lineRule="exact"/>
      </w:pPr>
      <w:r>
        <w:drawing>
          <wp:anchor distT="381000" distB="167640" distL="0" distR="1798320" simplePos="0" relativeHeight="125829391" behindDoc="0" locked="0" layoutInCell="1" allowOverlap="1">
            <wp:simplePos x="0" y="0"/>
            <wp:positionH relativeFrom="page">
              <wp:posOffset>3634740</wp:posOffset>
            </wp:positionH>
            <wp:positionV relativeFrom="paragraph">
              <wp:posOffset>381000</wp:posOffset>
            </wp:positionV>
            <wp:extent cx="335280" cy="3841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3528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4043045</wp:posOffset>
                </wp:positionH>
                <wp:positionV relativeFrom="paragraph">
                  <wp:posOffset>460375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18.35000000000002pt;margin-top:36.2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77240" distB="52070" distL="0" distR="0" simplePos="0" relativeHeight="125829392" behindDoc="0" locked="0" layoutInCell="1" allowOverlap="1">
                <wp:simplePos x="0" y="0"/>
                <wp:positionH relativeFrom="page">
                  <wp:posOffset>4083050</wp:posOffset>
                </wp:positionH>
                <wp:positionV relativeFrom="paragraph">
                  <wp:posOffset>777240</wp:posOffset>
                </wp:positionV>
                <wp:extent cx="1283335" cy="10033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21.5pt;margin-top:61.200000000000003pt;width:101.05pt;height:7.9000000000000004pt;z-index:-125829361;mso-wrap-distance-left:0;mso-wrap-distance-top:61.200000000000003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2630" distB="0" distL="0" distR="0" simplePos="0" relativeHeight="125829394" behindDoc="0" locked="0" layoutInCell="1" allowOverlap="1">
                <wp:simplePos x="0" y="0"/>
                <wp:positionH relativeFrom="page">
                  <wp:posOffset>6049010</wp:posOffset>
                </wp:positionH>
                <wp:positionV relativeFrom="paragraph">
                  <wp:posOffset>722630</wp:posOffset>
                </wp:positionV>
                <wp:extent cx="1167130" cy="20701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2"/>
                                <w:sz w:val="28"/>
                                <w:szCs w:val="28"/>
                              </w:rPr>
                              <w:t>Д.А.Колденков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76.30000000000001pt;margin-top:56.899999999999999pt;width:91.900000000000006pt;height:16.300000000000001pt;z-index:-125829359;mso-wrap-distance-left:0;mso-wrap-distance-top:56.8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2"/>
                          <w:sz w:val="28"/>
                          <w:szCs w:val="28"/>
                        </w:rPr>
                        <w:t>Д.А.Колденков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Колденков Даниил Александрович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00D84EF2E1E1AF1681EC520B87FD3DE73</w:t>
      </w:r>
      <w:r>
        <w:rPr>
          <w:rStyle w:val="CharStyle23"/>
          <w:lang w:val="en-US" w:eastAsia="en-US"/>
        </w:rPr>
        <w:t>E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56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85858"/>
        </w:rPr>
        <w:t>29.08.2025 по 22.1</w:t>
      </w:r>
      <w:r>
        <w:rPr>
          <w:rStyle w:val="CharStyle23"/>
          <w:color w:val="292929"/>
        </w:rPr>
        <w:t>1</w:t>
      </w:r>
      <w:r>
        <w:rPr>
          <w:rStyle w:val="CharStyle23"/>
        </w:rPr>
        <w:t>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Исп.Колденков Д.А.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0"/>
          <w:sz w:val="22"/>
          <w:szCs w:val="22"/>
        </w:rPr>
        <w:t>тел.431-73-88, вн. 052-805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2" w:right="541" w:bottom="165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10031730</wp:posOffset>
              </wp:positionV>
              <wp:extent cx="73787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2025-24600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9.950000000000003pt;margin-top:789.89999999999998pt;width:58.10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2025-24600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780415</wp:posOffset>
              </wp:positionH>
              <wp:positionV relativeFrom="page">
                <wp:posOffset>10199370</wp:posOffset>
              </wp:positionV>
              <wp:extent cx="737870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2025-24600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1.450000000000003pt;margin-top:803.10000000000002pt;width:58.100000000000001pt;height:10.1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2025-24600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756285</wp:posOffset>
              </wp:positionV>
              <wp:extent cx="7620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5000000000003pt;margin-top:59.550000000000004pt;width:6.pt;height:5.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Body text (5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4)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Body text (5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4)"/>
    <w:basedOn w:val="Normal"/>
    <w:link w:val="CharStyle19"/>
    <w:pPr>
      <w:widowControl w:val="0"/>
      <w:shd w:val="clear" w:color="auto" w:fill="auto"/>
      <w:spacing w:after="100"/>
      <w:ind w:left="5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46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