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1775460</wp:posOffset>
            </wp:positionH>
            <wp:positionV relativeFrom="paragraph">
              <wp:posOffset>12700</wp:posOffset>
            </wp:positionV>
            <wp:extent cx="530225" cy="615950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0225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125829379" behindDoc="0" locked="0" layoutInCell="1" allowOverlap="1">
                <wp:simplePos x="0" y="0"/>
                <wp:positionH relativeFrom="page">
                  <wp:posOffset>720725</wp:posOffset>
                </wp:positionH>
                <wp:positionV relativeFrom="paragraph">
                  <wp:posOffset>615950</wp:posOffset>
                </wp:positionV>
                <wp:extent cx="2581910" cy="1856105"/>
                <wp:wrapSquare wrapText="bothSides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81910" cy="18561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59" w:lineRule="auto"/>
                              <w:ind w:left="0" w:right="0" w:firstLine="0"/>
                              <w:jc w:val="center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color w:val="3D60B0"/>
                                <w:sz w:val="19"/>
                                <w:szCs w:val="19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center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color w:val="3D60B0"/>
                                <w:sz w:val="19"/>
                                <w:szCs w:val="19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center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color w:val="3D60B0"/>
                                <w:sz w:val="19"/>
                                <w:szCs w:val="19"/>
                              </w:rPr>
                              <w:t>Федеральной антимонопольной</w:t>
                              <w:br/>
                              <w:t>службы по Ханты-Мансийскому</w:t>
                              <w:br/>
                              <w:t>автономному округу - Югре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Style w:val="CharStyle3"/>
                                <w:color w:val="3D60B0"/>
                                <w:sz w:val="19"/>
                                <w:szCs w:val="19"/>
                              </w:rPr>
                              <w:t>ул. Мира, д. 27, Ханты-Мансийск, 628012</w:t>
                              <w:br/>
                              <w:t>телефон/факс +7 (3467) 38-80-81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300"/>
                              <w:jc w:val="left"/>
                            </w:pPr>
                            <w:r>
                              <w:rPr>
                                <w:rStyle w:val="CharStyle7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"mailto:to86@fas.gov.ru"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7"/>
                                <w:lang w:val="en-US" w:eastAsia="en-US"/>
                              </w:rPr>
                              <w:t>to86@fas.gov.ru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rStyle w:val="CharStyle7"/>
                                <w:lang w:val="en-US" w:eastAsia="en-US"/>
                              </w:rPr>
                              <w:t xml:space="preserve">, </w:t>
                            </w:r>
                            <w:r>
                              <w:rPr>
                                <w:rStyle w:val="CharStyle7"/>
                              </w:rPr>
                              <w:t xml:space="preserve">сайт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"http://hmao.fas.gov.ru"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7"/>
                                <w:lang w:val="en-US" w:eastAsia="en-US"/>
                              </w:rPr>
                              <w:t>http://hmao.fas.gov.ru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ИНН 8601009316 КПП 860101001 ОГРН 1028600512093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766" w:val="left"/>
                                <w:tab w:leader="underscore" w:pos="3926" w:val="left"/>
                              </w:tabs>
                              <w:bidi w:val="0"/>
                              <w:spacing w:before="0" w:after="100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Style w:val="CharStyle3"/>
                                <w:color w:val="3D60B0"/>
                                <w:sz w:val="19"/>
                                <w:szCs w:val="19"/>
                              </w:rPr>
                              <w:tab/>
                              <w:t xml:space="preserve"> №</w:t>
                              <w:tab/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6.75pt;margin-top:48.5pt;width:203.30000000000001pt;height:146.15000000000001pt;z-index:-125829374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59" w:lineRule="auto"/>
                        <w:ind w:left="0" w:right="0" w:firstLine="0"/>
                        <w:jc w:val="center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Style w:val="CharStyle3"/>
                          <w:b/>
                          <w:bCs/>
                          <w:color w:val="3D60B0"/>
                          <w:sz w:val="19"/>
                          <w:szCs w:val="19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Style w:val="CharStyle3"/>
                          <w:b/>
                          <w:bCs/>
                          <w:color w:val="3D60B0"/>
                          <w:sz w:val="19"/>
                          <w:szCs w:val="19"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Style w:val="CharStyle3"/>
                          <w:b/>
                          <w:bCs/>
                          <w:color w:val="3D60B0"/>
                          <w:sz w:val="19"/>
                          <w:szCs w:val="19"/>
                        </w:rPr>
                        <w:t>Федеральной антимонопольной</w:t>
                        <w:br/>
                        <w:t>службы по Ханты-Мансийскому</w:t>
                        <w:br/>
                        <w:t>автономному округу - Югре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Style w:val="CharStyle3"/>
                          <w:color w:val="3D60B0"/>
                          <w:sz w:val="19"/>
                          <w:szCs w:val="19"/>
                        </w:rPr>
                        <w:t>ул. Мира, д. 27, Ханты-Мансийск, 628012</w:t>
                        <w:br/>
                        <w:t>телефон/факс +7 (3467) 38-80-81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300"/>
                        <w:jc w:val="left"/>
                      </w:pPr>
                      <w:r>
                        <w:rPr>
                          <w:rStyle w:val="CharStyle7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"mailto:to86@fas.gov.ru"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7"/>
                          <w:lang w:val="en-US" w:eastAsia="en-US"/>
                        </w:rPr>
                        <w:t>to86@fas.gov.ru</w:t>
                      </w:r>
                      <w:r>
                        <w:fldChar w:fldCharType="end"/>
                      </w:r>
                      <w:r>
                        <w:rPr>
                          <w:rStyle w:val="CharStyle7"/>
                          <w:lang w:val="en-US" w:eastAsia="en-US"/>
                        </w:rPr>
                        <w:t xml:space="preserve">, </w:t>
                      </w:r>
                      <w:r>
                        <w:rPr>
                          <w:rStyle w:val="CharStyle7"/>
                        </w:rPr>
                        <w:t xml:space="preserve">сайт </w:t>
                      </w:r>
                      <w:r>
                        <w:fldChar w:fldCharType="begin"/>
                      </w:r>
                      <w:r>
                        <w:rPr/>
                        <w:instrText> HYPERLINK "http://hmao.fas.gov.ru"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7"/>
                          <w:lang w:val="en-US" w:eastAsia="en-US"/>
                        </w:rPr>
                        <w:t>http://hmao.fas.gov.ru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ИНН 8601009316 КПП 860101001 ОГРН 1028600512093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766" w:val="left"/>
                          <w:tab w:leader="underscore" w:pos="3926" w:val="left"/>
                        </w:tabs>
                        <w:bidi w:val="0"/>
                        <w:spacing w:before="0" w:after="100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Style w:val="CharStyle3"/>
                          <w:color w:val="3D60B0"/>
                          <w:sz w:val="19"/>
                          <w:szCs w:val="19"/>
                        </w:rPr>
                        <w:tab/>
                        <w:t xml:space="preserve"> №</w:t>
                        <w:tab/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drawing>
          <wp:anchor distT="435610" distB="0" distL="6350" distR="0" simplePos="0" relativeHeight="125829381" behindDoc="0" locked="0" layoutInCell="1" allowOverlap="1">
            <wp:simplePos x="0" y="0"/>
            <wp:positionH relativeFrom="page">
              <wp:posOffset>727075</wp:posOffset>
            </wp:positionH>
            <wp:positionV relativeFrom="paragraph">
              <wp:posOffset>3084195</wp:posOffset>
            </wp:positionV>
            <wp:extent cx="2597150" cy="182880"/>
            <wp:wrapSquare wrapText="bothSides"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597150" cy="18288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720725</wp:posOffset>
                </wp:positionH>
                <wp:positionV relativeFrom="paragraph">
                  <wp:posOffset>2648585</wp:posOffset>
                </wp:positionV>
                <wp:extent cx="2581910" cy="130810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81910" cy="1308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9"/>
                              </w:rPr>
                              <w:t xml:space="preserve">На 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6.75pt;margin-top:208.55000000000001pt;width:203.30000000000001pt;height:10.300000000000001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rStyle w:val="CharStyle9"/>
                        </w:rPr>
                        <w:t xml:space="preserve">На №  от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bookmarkStart w:id="0" w:name="bookmark0"/>
      <w:r>
        <w:rPr>
          <w:rStyle w:val="CharStyle13"/>
          <w:b/>
          <w:bCs/>
        </w:rPr>
        <w:t>Оператор электронной площадки:</w:t>
      </w:r>
      <w:bookmarkEnd w:id="0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200" w:right="0" w:firstLine="0"/>
        <w:jc w:val="left"/>
      </w:pPr>
      <w:r>
        <w:rPr>
          <w:rStyle w:val="CharStyle11"/>
        </w:rPr>
        <w:t>АО "Сбербанк – АСТ"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200" w:right="0" w:firstLine="0"/>
        <w:jc w:val="left"/>
      </w:pPr>
      <w:r>
        <w:rPr>
          <w:rStyle w:val="CharStyle11"/>
        </w:rPr>
        <w:t>119435, г. Москва, Большой Саввинский переулок, д.12, стр.9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200" w:right="0" w:firstLine="0"/>
        <w:jc w:val="left"/>
      </w:pPr>
      <w:r>
        <w:rPr>
          <w:rStyle w:val="CharStyle11"/>
        </w:rPr>
        <w:t>тел.: (495) 7872999/97 доб. 369, Факс: (495) 7872998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1200" w:right="0" w:firstLine="0"/>
        <w:jc w:val="left"/>
      </w:pPr>
      <w:r>
        <w:rPr>
          <w:rStyle w:val="CharStyle11"/>
          <w:lang w:val="en-US" w:eastAsia="en-US"/>
        </w:rPr>
        <w:t xml:space="preserve">e-mail: </w:t>
      </w:r>
      <w:r>
        <w:fldChar w:fldCharType="begin"/>
      </w:r>
      <w:r>
        <w:rPr/>
        <w:instrText> HYPERLINK "mailto:ko@sberbank-ast.ru" </w:instrText>
      </w:r>
      <w:r>
        <w:fldChar w:fldCharType="separate"/>
      </w:r>
      <w:r>
        <w:rPr>
          <w:rStyle w:val="CharStyle11"/>
          <w:lang w:val="en-US" w:eastAsia="en-US"/>
        </w:rPr>
        <w:t>ko@sberbank-ast.ru</w:t>
      </w:r>
      <w:r>
        <w:fldChar w:fldCharType="end"/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bookmarkStart w:id="2" w:name="bookmark2"/>
      <w:r>
        <w:rPr>
          <w:rStyle w:val="CharStyle13"/>
          <w:b/>
          <w:bCs/>
        </w:rPr>
        <w:t>Заявитель:</w:t>
      </w:r>
      <w:bookmarkEnd w:id="2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200" w:right="0" w:firstLine="0"/>
        <w:jc w:val="left"/>
      </w:pPr>
      <w:r>
        <w:rPr>
          <w:rStyle w:val="CharStyle11"/>
        </w:rPr>
        <w:t>ООО ИТК «Сургутпроектгрупп»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1200" w:right="0" w:firstLine="0"/>
        <w:jc w:val="left"/>
      </w:pPr>
      <w:r>
        <w:rPr>
          <w:rStyle w:val="CharStyle11"/>
        </w:rPr>
        <w:t>628415, Ханты-Мансийский автономный округ - Югра, г. Сургут, ул. Игоря Киртбая, д. 18, оф. 2.3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bookmarkStart w:id="4" w:name="bookmark4"/>
      <w:r>
        <w:rPr>
          <w:rStyle w:val="CharStyle13"/>
          <w:b/>
          <w:bCs/>
        </w:rPr>
        <w:t>Заказчик:</w:t>
      </w:r>
      <w:bookmarkEnd w:id="4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200" w:right="0" w:firstLine="0"/>
        <w:jc w:val="left"/>
      </w:pPr>
      <w:r>
        <w:rPr>
          <w:rStyle w:val="CharStyle11"/>
        </w:rPr>
        <w:t>Бюджетного учреждения Ханты–Мансийского автономного округа – Югры «Дирекция по эксплуатации служебных зданий»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200" w:right="0" w:firstLine="0"/>
        <w:jc w:val="left"/>
      </w:pPr>
      <w:r>
        <w:rPr>
          <w:rStyle w:val="CharStyle11"/>
        </w:rPr>
        <w:t>628001, ХМАО-Югра, г. Ханты-Мансийск, ул.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1200" w:right="0" w:firstLine="0"/>
        <w:jc w:val="left"/>
      </w:pPr>
      <w:r>
        <w:rPr>
          <w:rStyle w:val="CharStyle11"/>
        </w:rPr>
        <w:t>Анны Коньковой, д. 3, к. 1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bookmarkStart w:id="6" w:name="bookmark6"/>
      <w:r>
        <w:rPr>
          <w:rStyle w:val="CharStyle13"/>
          <w:b/>
          <w:bCs/>
        </w:rPr>
        <w:t>Уполномоченный орган:</w:t>
      </w:r>
      <w:bookmarkEnd w:id="6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1200" w:right="0" w:firstLine="0"/>
        <w:jc w:val="left"/>
      </w:pPr>
      <w:r>
        <w:rPr>
          <w:rStyle w:val="CharStyle11"/>
        </w:rPr>
        <w:t>Департамент государственного заказа Ханты- Мансийского автономного округа — Югры 628011, Ханты-Мансийский автономный округ — Югра, г. Ханты-Мансийск, ул. Мира 14, А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160" w:line="588" w:lineRule="auto"/>
        <w:ind w:left="-1420" w:right="0" w:firstLine="1420"/>
        <w:jc w:val="both"/>
      </w:pPr>
      <w:bookmarkStart w:id="8" w:name="bookmark8"/>
      <w:r>
        <w:rPr>
          <w:rStyle w:val="CharStyle13"/>
          <w:b/>
          <w:bCs/>
        </w:rPr>
        <w:t>ПРЕДПИСАНИЕ об устранении нарушений законодательства</w:t>
      </w:r>
      <w:bookmarkEnd w:id="8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hanging="4100"/>
        <w:jc w:val="left"/>
      </w:pPr>
      <w:r>
        <mc:AlternateContent>
          <mc:Choice Requires="wps">
            <w:drawing>
              <wp:anchor distT="0" distB="0" distL="114300" distR="114300" simplePos="0" relativeHeight="125829382" behindDoc="0" locked="0" layoutInCell="1" allowOverlap="1">
                <wp:simplePos x="0" y="0"/>
                <wp:positionH relativeFrom="page">
                  <wp:posOffset>5865495</wp:posOffset>
                </wp:positionH>
                <wp:positionV relativeFrom="paragraph">
                  <wp:posOffset>12700</wp:posOffset>
                </wp:positionV>
                <wp:extent cx="1289050" cy="216535"/>
                <wp:wrapSquare wrapText="lef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905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1"/>
                              </w:rPr>
                              <w:t>г. Ханты-Мансийск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461.85000000000002pt;margin-top:1.pt;width:101.5pt;height:17.050000000000001pt;z-index:-12582937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1"/>
                        </w:rPr>
                        <w:t>г. Ханты-Мансийск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1"/>
        </w:rPr>
        <w:t>Резолютивная часть объявлена 28.08.2025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hanging="4100"/>
        <w:jc w:val="left"/>
      </w:pPr>
      <w:r>
        <w:rPr>
          <w:rStyle w:val="CharStyle11"/>
        </w:rPr>
        <w:t>Изготовлено в полном объеме 01.09.2025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-4100" w:right="0" w:firstLine="720"/>
        <w:jc w:val="left"/>
      </w:pPr>
      <w:r>
        <w:rPr>
          <w:rStyle w:val="CharStyle11"/>
        </w:rPr>
        <w:t>Комиссия Управления Федеральной антимонопольной службы по Ханты-Мансийскому автономному округу – Югре (далее - Управление) по контролю в сфере закупок в составе: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hanging="3380"/>
        <w:jc w:val="left"/>
      </w:pPr>
      <w:r>
        <w:rPr>
          <w:rStyle w:val="CharStyle11"/>
        </w:rPr>
        <w:t>Председатель комиссии: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-3108" w:val="left"/>
        </w:tabs>
        <w:bidi w:val="0"/>
        <w:spacing w:before="0" w:after="0" w:line="240" w:lineRule="auto"/>
        <w:ind w:left="0" w:right="0" w:hanging="3380"/>
        <w:jc w:val="left"/>
      </w:pPr>
      <w:r>
        <w:rPr>
          <w:rStyle w:val="CharStyle11"/>
        </w:rPr>
        <w:t>Валиуллин Р.Р. – Врио руководителя Управления;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hanging="3380"/>
        <w:jc w:val="both"/>
      </w:pPr>
      <w:r>
        <w:rPr>
          <w:rStyle w:val="CharStyle11"/>
        </w:rPr>
        <w:t>Членов комиссии: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-3108" w:val="left"/>
        </w:tabs>
        <w:bidi w:val="0"/>
        <w:spacing w:before="0" w:after="0" w:line="240" w:lineRule="auto"/>
        <w:ind w:left="0" w:right="0" w:hanging="3380"/>
        <w:jc w:val="left"/>
      </w:pPr>
      <w:r>
        <w:rPr>
          <w:rStyle w:val="CharStyle11"/>
        </w:rPr>
        <w:t>Михайлова О.Н. – Старший специалист 1 разряда отдела контроля закупок,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-3108" w:val="left"/>
        </w:tabs>
        <w:bidi w:val="0"/>
        <w:spacing w:before="0" w:after="240" w:line="240" w:lineRule="auto"/>
        <w:ind w:left="0" w:right="0" w:hanging="3380"/>
        <w:jc w:val="left"/>
      </w:pPr>
      <w:r>
        <w:rPr>
          <w:rStyle w:val="CharStyle11"/>
        </w:rPr>
        <w:t>Шаврин А.В. – Эксперт отдела контроля закупок,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-4100" w:right="0" w:firstLine="720"/>
        <w:jc w:val="both"/>
        <w:sectPr>
          <w:footerReference w:type="default" r:id="rId9"/>
          <w:footnotePr>
            <w:pos w:val="pageBottom"/>
            <w:numFmt w:val="decimal"/>
            <w:numRestart w:val="continuous"/>
          </w:footnotePr>
          <w:pgSz w:w="11900" w:h="16840"/>
          <w:pgMar w:top="279" w:right="536" w:bottom="1313" w:left="5234" w:header="0" w:footer="3" w:gutter="0"/>
          <w:pgNumType w:start="1"/>
          <w:cols w:space="720"/>
          <w:noEndnote/>
          <w:rtlGutter w:val="0"/>
          <w:docGrid w:linePitch="360"/>
        </w:sectPr>
      </w:pPr>
      <w:r>
        <w:rPr>
          <w:rStyle w:val="CharStyle11"/>
        </w:rPr>
        <w:t>на основании решения от 28.08.2025 № 086/06/33-1685/2025 по итогам рассмотрения жалобы ООО ИТК «Сургутпроектгрупп» (ИНН: 8602169954) № 9198/25 от 22.08.2025 г., на</w:t>
      </w:r>
    </w:p>
    <w:p>
      <w:pPr>
        <w:widowControl w:val="0"/>
        <w:spacing w:line="159" w:lineRule="exact"/>
        <w:rPr>
          <w:sz w:val="13"/>
          <w:szCs w:val="13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79" w:right="0" w:bottom="1225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after="455" w:line="1" w:lineRule="exact"/>
      </w:pPr>
      <w:r>
        <w:drawing>
          <wp:anchor distT="0" distB="0" distL="0" distR="0" simplePos="0" relativeHeight="62914692" behindDoc="1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12700</wp:posOffset>
            </wp:positionV>
            <wp:extent cx="1517650" cy="292735"/>
            <wp:wrapNone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ext cx="1517650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79" w:right="536" w:bottom="1225" w:left="113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0" w:right="0" w:firstLine="0"/>
        <w:jc w:val="both"/>
      </w:pPr>
      <w:r>
        <w:rPr>
          <w:rStyle w:val="CharStyle11"/>
        </w:rPr>
        <w:t xml:space="preserve">действия Заказчика </w:t>
      </w:r>
      <w:r>
        <w:rPr>
          <w:rStyle w:val="CharStyle11"/>
          <w:lang w:val="en-US" w:eastAsia="en-US"/>
        </w:rPr>
        <w:t xml:space="preserve">- </w:t>
      </w:r>
      <w:r>
        <w:rPr>
          <w:rStyle w:val="CharStyle11"/>
        </w:rPr>
        <w:t xml:space="preserve">Бюджетного учреждения </w:t>
      </w:r>
      <w:r>
        <w:rPr>
          <w:rStyle w:val="CharStyle11"/>
          <w:lang w:val="en-US" w:eastAsia="en-US"/>
        </w:rPr>
        <w:t xml:space="preserve">Ханты–Мансийского </w:t>
      </w:r>
      <w:r>
        <w:rPr>
          <w:rStyle w:val="CharStyle11"/>
        </w:rPr>
        <w:t xml:space="preserve">автономного округа </w:t>
      </w:r>
      <w:r>
        <w:rPr>
          <w:rStyle w:val="CharStyle11"/>
          <w:lang w:val="en-US" w:eastAsia="en-US"/>
        </w:rPr>
        <w:t xml:space="preserve">– </w:t>
      </w:r>
      <w:r>
        <w:rPr>
          <w:rStyle w:val="CharStyle11"/>
        </w:rPr>
        <w:t xml:space="preserve">Югры «Дирекция по эксплуатации служебных зданий», Уполномоченного органа </w:t>
      </w:r>
      <w:r>
        <w:rPr>
          <w:rStyle w:val="CharStyle11"/>
          <w:lang w:val="en-US" w:eastAsia="en-US"/>
        </w:rPr>
        <w:t xml:space="preserve">- </w:t>
      </w:r>
      <w:r>
        <w:rPr>
          <w:rStyle w:val="CharStyle11"/>
        </w:rPr>
        <w:t xml:space="preserve">Департамент государственного заказа Ханты-Мансийского автономного округа </w:t>
      </w:r>
      <w:r>
        <w:rPr>
          <w:rStyle w:val="CharStyle11"/>
          <w:lang w:val="en-US" w:eastAsia="en-US"/>
        </w:rPr>
        <w:t xml:space="preserve">— </w:t>
      </w:r>
      <w:r>
        <w:rPr>
          <w:rStyle w:val="CharStyle11"/>
        </w:rPr>
        <w:t xml:space="preserve">Югры, при проведении открытого конкурса в электронной форме, предметом которого является «Выполнение подрядных работ по подготовке проектной документации по капитальному ремонту объекта капитального строительства: «Здание: Помещения МПУ </w:t>
      </w:r>
      <w:r>
        <w:rPr>
          <w:rStyle w:val="CharStyle11"/>
          <w:lang w:val="en-US" w:eastAsia="en-US"/>
        </w:rPr>
        <w:t xml:space="preserve">№ 1», </w:t>
      </w:r>
      <w:r>
        <w:rPr>
          <w:rStyle w:val="CharStyle11"/>
        </w:rPr>
        <w:t xml:space="preserve">расположенного по адресу: Ханты-Мансийский автономный округ </w:t>
      </w:r>
      <w:r>
        <w:rPr>
          <w:rStyle w:val="CharStyle11"/>
          <w:lang w:val="en-US" w:eastAsia="en-US"/>
        </w:rPr>
        <w:t xml:space="preserve">– </w:t>
      </w:r>
      <w:r>
        <w:rPr>
          <w:rStyle w:val="CharStyle11"/>
        </w:rPr>
        <w:t xml:space="preserve">Югра, г. Покачи, ул. Ленина, д.6» (извещение </w:t>
      </w:r>
      <w:r>
        <w:rPr>
          <w:rStyle w:val="CharStyle11"/>
          <w:lang w:val="en-US" w:eastAsia="en-US"/>
        </w:rPr>
        <w:t xml:space="preserve">№ 0187200001725001332) </w:t>
      </w:r>
      <w:r>
        <w:rPr>
          <w:rStyle w:val="CharStyle11"/>
        </w:rPr>
        <w:t xml:space="preserve">и в результате осуществления внеплановой проверки в соответствии с пунктом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 xml:space="preserve">части </w:t>
      </w:r>
      <w:r>
        <w:rPr>
          <w:rStyle w:val="CharStyle11"/>
          <w:lang w:val="en-US" w:eastAsia="en-US"/>
        </w:rPr>
        <w:t xml:space="preserve">15 </w:t>
      </w:r>
      <w:r>
        <w:rPr>
          <w:rStyle w:val="CharStyle11"/>
        </w:rPr>
        <w:t xml:space="preserve">статьи </w:t>
      </w:r>
      <w:r>
        <w:rPr>
          <w:rStyle w:val="CharStyle11"/>
          <w:lang w:val="en-US" w:eastAsia="en-US"/>
        </w:rPr>
        <w:t xml:space="preserve">99 </w:t>
      </w:r>
      <w:r>
        <w:rPr>
          <w:rStyle w:val="CharStyle11"/>
        </w:rPr>
        <w:t xml:space="preserve">Федерального закона от </w:t>
      </w:r>
      <w:r>
        <w:rPr>
          <w:rStyle w:val="CharStyle11"/>
          <w:lang w:val="en-US" w:eastAsia="en-US"/>
        </w:rPr>
        <w:t xml:space="preserve">05.04.2013 N </w:t>
      </w:r>
      <w:r>
        <w:rPr>
          <w:rStyle w:val="CharStyle11"/>
        </w:rPr>
        <w:t xml:space="preserve">44-ФЗ "О контрактной системе в сфере закупок товаров работ, услуг для обеспечения государственных и муниципальных нужд" (далее </w:t>
      </w:r>
      <w:r>
        <w:rPr>
          <w:rStyle w:val="CharStyle11"/>
          <w:lang w:val="en-US" w:eastAsia="en-US"/>
        </w:rPr>
        <w:t xml:space="preserve">- </w:t>
      </w:r>
      <w:r>
        <w:rPr>
          <w:rStyle w:val="CharStyle11"/>
        </w:rPr>
        <w:t>Закон о контрактной системе), Комиссия управления,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10" w:name="bookmark10"/>
      <w:r>
        <w:rPr>
          <w:rStyle w:val="CharStyle13"/>
          <w:b/>
          <w:bCs/>
        </w:rPr>
        <w:t>ПРЕДПИСЫВАЕТ:</w:t>
      </w:r>
      <w:bookmarkEnd w:id="10"/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42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1"/>
        </w:rPr>
        <w:t xml:space="preserve">Заказчику отменить все протоколы, составленные в ходе осуществления закупки объектом которой является </w:t>
      </w:r>
      <w:r>
        <w:rPr>
          <w:rStyle w:val="CharStyle11"/>
          <w:lang w:val="en-US" w:eastAsia="en-US"/>
        </w:rPr>
        <w:t xml:space="preserve">- </w:t>
      </w:r>
      <w:r>
        <w:rPr>
          <w:rStyle w:val="CharStyle11"/>
        </w:rPr>
        <w:t xml:space="preserve">Выполнение подрядных работ по подготовке проектной документации по капитальному ремонту объекта капитального строительства: «Здание: Помещения МПУ </w:t>
      </w:r>
      <w:r>
        <w:rPr>
          <w:rStyle w:val="CharStyle11"/>
          <w:lang w:val="en-US" w:eastAsia="en-US"/>
        </w:rPr>
        <w:t xml:space="preserve">№ 1», </w:t>
      </w:r>
      <w:r>
        <w:rPr>
          <w:rStyle w:val="CharStyle11"/>
        </w:rPr>
        <w:t xml:space="preserve">расположенного по адресу: Ханты-Мансийский автономный округ </w:t>
      </w:r>
      <w:r>
        <w:rPr>
          <w:rStyle w:val="CharStyle11"/>
          <w:lang w:val="en-US" w:eastAsia="en-US"/>
        </w:rPr>
        <w:t xml:space="preserve">– </w:t>
      </w:r>
      <w:r>
        <w:rPr>
          <w:rStyle w:val="CharStyle11"/>
        </w:rPr>
        <w:t xml:space="preserve">Югра, г. Покачи, ул. Ленина, д.6, внести изменение в извещение согласно принятому решению от </w:t>
      </w:r>
      <w:r>
        <w:rPr>
          <w:rStyle w:val="CharStyle11"/>
          <w:lang w:val="en-US" w:eastAsia="en-US"/>
        </w:rPr>
        <w:t>28.08.2025 № 086/06/33-1685/2025.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38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1"/>
        </w:rPr>
        <w:t xml:space="preserve">Оператору электронной площадки не позднее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 xml:space="preserve">рабочего дня со дня исполнения пункта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>настоящего предписания:</w:t>
      </w:r>
    </w:p>
    <w:p>
      <w:pPr>
        <w:pStyle w:val="Style10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27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1"/>
        </w:rPr>
        <w:t>вернуть участникам закупки ранее поданные заявки на участие в запросе котировок в электронной форме;</w:t>
      </w:r>
    </w:p>
    <w:p>
      <w:pPr>
        <w:pStyle w:val="Style10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27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1"/>
        </w:rPr>
        <w:t>прекратить блокирование операций по счетам для проведения операций по обеспечению участия в электронных закупках, открытыми участниками закупки, подавшими заявки на участие в запросе котировок в электронной форме, в отношении денежных средств в размере обеспечения заявки на участие в запросе котировок в электронной форме;</w:t>
      </w:r>
    </w:p>
    <w:p>
      <w:pPr>
        <w:pStyle w:val="Style10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27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1"/>
        </w:rPr>
        <w:t>уведомить участников закупки об отмене Протокола, о новой дате окончания срока подачи заявок на участие в запросе котировок в электронной форме, а также о необходимости наличия на специальных счетах, открытых участниками закупки, денежных средств в размере обеспечения заявки на участие в запросе котировок в электронной форме, о блокировании операций в отношении указанных средств, в случае если в их отношении блокирование прекращено либо о необходимости наличия у участников закупки независимой гарантии, соответствующей требованиям Закона о контрактной системе.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779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1"/>
        </w:rPr>
        <w:t>Заказчику:</w:t>
      </w:r>
    </w:p>
    <w:p>
      <w:pPr>
        <w:pStyle w:val="Style10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27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1"/>
        </w:rPr>
        <w:t xml:space="preserve">привести Извещение в соответствие с требованиями законодательства Российской Федерации о контрактной системе в сфере закупок и с учетом решения от </w:t>
      </w:r>
      <w:r>
        <w:rPr>
          <w:rStyle w:val="CharStyle11"/>
          <w:lang w:val="en-US" w:eastAsia="en-US"/>
        </w:rPr>
        <w:t>28.08.2025 № 086/06/33</w:t>
        <w:softHyphen/>
        <w:t xml:space="preserve">1685/2025, </w:t>
      </w:r>
      <w:r>
        <w:rPr>
          <w:rStyle w:val="CharStyle11"/>
        </w:rPr>
        <w:t>разместить соответствующее извещение о проведении электронного аукциона в ЕИС;</w:t>
      </w:r>
    </w:p>
    <w:p>
      <w:pPr>
        <w:pStyle w:val="Style10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779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1"/>
        </w:rPr>
        <w:t>назначить новую дату окончания срока подачи заявок на участие в закупке.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42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1"/>
        </w:rPr>
        <w:t xml:space="preserve">Оператору электронной площадки не позднее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 xml:space="preserve">рабочего дня со дня исполнения пункта </w:t>
      </w:r>
      <w:r>
        <w:rPr>
          <w:rStyle w:val="CharStyle11"/>
          <w:lang w:val="en-US" w:eastAsia="en-US"/>
        </w:rPr>
        <w:t xml:space="preserve">3 </w:t>
      </w:r>
      <w:r>
        <w:rPr>
          <w:rStyle w:val="CharStyle11"/>
        </w:rPr>
        <w:t>настоящего предписания уведомить участников закупки, подавших заявки на участие в запросе котировок в электронной форме, о новой дате окончания срока подачи заявок на участие в запросе котировок в электронной форме, дате рассмотрения заявок на участие в запросе котировок в электронной форме, а также о возможности подать новые заявки на участие в запросе котировок в электронной форме.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47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1"/>
        </w:rPr>
        <w:t xml:space="preserve">Заказчику,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и с учетом решения от </w:t>
      </w:r>
      <w:r>
        <w:rPr>
          <w:rStyle w:val="CharStyle11"/>
          <w:lang w:val="en-US" w:eastAsia="en-US"/>
        </w:rPr>
        <w:t>28.08.2025 № 086/06/33-1685/2025.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38" w:val="left"/>
        </w:tabs>
        <w:bidi w:val="0"/>
        <w:spacing w:before="0" w:after="260" w:line="240" w:lineRule="auto"/>
        <w:ind w:left="0" w:right="0" w:firstLine="740"/>
        <w:jc w:val="both"/>
      </w:pPr>
      <w:r>
        <w:rPr>
          <w:rStyle w:val="CharStyle11"/>
        </w:rPr>
        <w:t xml:space="preserve">Заказчику, Оператору электронной площадки в срок до </w:t>
      </w:r>
      <w:r>
        <w:rPr>
          <w:rStyle w:val="CharStyle11"/>
          <w:lang w:val="en-US" w:eastAsia="en-US"/>
        </w:rPr>
        <w:t xml:space="preserve">15.09.2025 </w:t>
      </w:r>
      <w:r>
        <w:rPr>
          <w:rStyle w:val="CharStyle11"/>
        </w:rPr>
        <w:t xml:space="preserve">г. исполнить настоящее предписание и представить в УФАС России по Ханты-Мансийскому автономному округу </w:t>
      </w:r>
      <w:r>
        <w:rPr>
          <w:rStyle w:val="CharStyle11"/>
          <w:lang w:val="en-US" w:eastAsia="en-US"/>
        </w:rPr>
        <w:t xml:space="preserve">- </w:t>
      </w:r>
      <w:r>
        <w:rPr>
          <w:rStyle w:val="CharStyle11"/>
        </w:rPr>
        <w:t>Югре</w:t>
      </w:r>
      <w:r>
        <w:br w:type="page"/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rStyle w:val="CharStyle11"/>
        </w:rPr>
        <w:t xml:space="preserve">подтверждение исполнения настоящего предписания в письменном виде, а также по электронной почте на </w:t>
      </w:r>
      <w:r>
        <w:fldChar w:fldCharType="begin"/>
      </w:r>
      <w:r>
        <w:rPr/>
        <w:instrText> HYPERLINK "mailto:to86@fas.gov.ru" </w:instrText>
      </w:r>
      <w:r>
        <w:fldChar w:fldCharType="separate"/>
      </w:r>
      <w:r>
        <w:rPr>
          <w:rStyle w:val="CharStyle11"/>
          <w:lang w:val="en-US" w:eastAsia="en-US"/>
        </w:rPr>
        <w:t>to86@fas.gov.ru</w:t>
      </w:r>
      <w:r>
        <w:fldChar w:fldCharType="end"/>
      </w:r>
      <w:r>
        <w:rPr>
          <w:rStyle w:val="CharStyle11"/>
          <w:lang w:val="en-US" w:eastAsia="en-US"/>
        </w:rPr>
        <w:t>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1"/>
        </w:rPr>
        <w:t xml:space="preserve">В соответствии с частью </w:t>
      </w:r>
      <w:r>
        <w:rPr>
          <w:rStyle w:val="CharStyle11"/>
          <w:lang w:val="en-US" w:eastAsia="en-US"/>
        </w:rPr>
        <w:t xml:space="preserve">23 </w:t>
      </w:r>
      <w:r>
        <w:rPr>
          <w:rStyle w:val="CharStyle11"/>
        </w:rPr>
        <w:t xml:space="preserve">статьи </w:t>
      </w:r>
      <w:r>
        <w:rPr>
          <w:rStyle w:val="CharStyle11"/>
          <w:lang w:val="en-US" w:eastAsia="en-US"/>
        </w:rPr>
        <w:t xml:space="preserve">99 </w:t>
      </w:r>
      <w:r>
        <w:rPr>
          <w:rStyle w:val="CharStyle11"/>
        </w:rPr>
        <w:t>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060" w:line="240" w:lineRule="auto"/>
        <w:ind w:left="0" w:right="0" w:firstLine="740"/>
        <w:jc w:val="both"/>
      </w:pPr>
      <w:r>
        <w:rPr>
          <w:rStyle w:val="CharStyle11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</w:t>
      </w:r>
      <w:r>
        <w:rPr>
          <w:rStyle w:val="CharStyle11"/>
          <w:lang w:val="en-US" w:eastAsia="en-US"/>
        </w:rPr>
        <w:t xml:space="preserve">7 </w:t>
      </w:r>
      <w:r>
        <w:rPr>
          <w:rStyle w:val="CharStyle11"/>
        </w:rPr>
        <w:t xml:space="preserve">статьи </w:t>
      </w:r>
      <w:r>
        <w:rPr>
          <w:rStyle w:val="CharStyle11"/>
          <w:lang w:val="en-US" w:eastAsia="en-US"/>
        </w:rPr>
        <w:t xml:space="preserve">19.5 </w:t>
      </w:r>
      <w:r>
        <w:rPr>
          <w:rStyle w:val="CharStyle11"/>
        </w:rPr>
        <w:t>Кодекса Российской Федерации об административных правонарушениях.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80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701040" distL="114300" distR="224155" simplePos="0" relativeHeight="125829384" behindDoc="0" locked="0" layoutInCell="1" allowOverlap="1">
                <wp:simplePos x="0" y="0"/>
                <wp:positionH relativeFrom="page">
                  <wp:posOffset>6001385</wp:posOffset>
                </wp:positionH>
                <wp:positionV relativeFrom="paragraph">
                  <wp:posOffset>12700</wp:posOffset>
                </wp:positionV>
                <wp:extent cx="987425" cy="219710"/>
                <wp:wrapSquare wrapText="left"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87425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1"/>
                              </w:rPr>
                              <w:t>Р.Р. Валиуллин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72.55000000000001pt;margin-top:1.pt;width:77.75pt;height:17.300000000000001pt;z-index:-125829369;mso-wrap-distance-left:9.pt;mso-wrap-distance-right:17.650000000000002pt;mso-wrap-distance-bottom:55.200000000000003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1"/>
                        </w:rPr>
                        <w:t>Р.Р. Валиуллин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701040" distB="0" distL="117475" distR="114300" simplePos="0" relativeHeight="125829386" behindDoc="0" locked="0" layoutInCell="1" allowOverlap="1">
                <wp:simplePos x="0" y="0"/>
                <wp:positionH relativeFrom="page">
                  <wp:posOffset>6004560</wp:posOffset>
                </wp:positionH>
                <wp:positionV relativeFrom="paragraph">
                  <wp:posOffset>713740</wp:posOffset>
                </wp:positionV>
                <wp:extent cx="1094105" cy="219710"/>
                <wp:wrapSquare wrapText="left"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94105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1"/>
                              </w:rPr>
                              <w:t>О.Н. Михайлова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472.80000000000001pt;margin-top:56.200000000000003pt;width:86.150000000000006pt;height:17.300000000000001pt;z-index:-125829367;mso-wrap-distance-left:9.25pt;mso-wrap-distance-top:55.200000000000003pt;mso-wrap-distance-right:9.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1"/>
                        </w:rPr>
                        <w:t>О.Н. Михайлова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1"/>
        </w:rPr>
        <w:t>Председатель Комиссии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800" w:line="240" w:lineRule="auto"/>
        <w:ind w:left="0" w:right="0" w:firstLine="0"/>
        <w:jc w:val="left"/>
      </w:pPr>
      <w:r>
        <w:rPr>
          <w:rStyle w:val="CharStyle11"/>
        </w:rPr>
        <w:t>Члены Комиссии: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400" w:firstLine="0"/>
        <w:jc w:val="right"/>
      </w:pPr>
      <w:r>
        <w:rPr>
          <w:rStyle w:val="CharStyle11"/>
        </w:rPr>
        <w:t>А.В. Шаврин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left"/>
      </w:pPr>
      <w:r>
        <w:rPr>
          <w:rStyle w:val="CharStyle3"/>
          <w:i/>
          <w:iCs/>
        </w:rPr>
        <w:t>Решение, принятое по результатам рассмотрения жалобы по существу, может быть обжаловано в судебном порядке в течение трех месяцев с даты принятия.</w:t>
      </w:r>
    </w:p>
    <w:sectPr>
      <w:footerReference w:type="default" r:id="rId12"/>
      <w:footnotePr>
        <w:pos w:val="pageBottom"/>
        <w:numFmt w:val="decimal"/>
        <w:numRestart w:val="continuous"/>
      </w:footnotePr>
      <w:pgSz w:w="11900" w:h="16840"/>
      <w:pgMar w:top="1056" w:right="544" w:bottom="1122" w:left="1104" w:header="628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9851390</wp:posOffset>
              </wp:positionV>
              <wp:extent cx="652145" cy="12827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214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5"/>
                              <w:sz w:val="24"/>
                              <w:szCs w:val="24"/>
                              <w:lang w:val="ru-RU" w:eastAsia="ru-RU"/>
                            </w:rPr>
                            <w:t>2025-6817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7.pt;margin-top:775.70000000000005pt;width:51.350000000000001pt;height:10.1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5"/>
                        <w:sz w:val="24"/>
                        <w:szCs w:val="24"/>
                        <w:lang w:val="ru-RU" w:eastAsia="ru-RU"/>
                      </w:rPr>
                      <w:t>2025-6817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721995</wp:posOffset>
              </wp:positionH>
              <wp:positionV relativeFrom="page">
                <wp:posOffset>10044430</wp:posOffset>
              </wp:positionV>
              <wp:extent cx="652145" cy="128270"/>
              <wp:wrapNone/>
              <wp:docPr id="19" name="Shape 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214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5"/>
                              <w:sz w:val="24"/>
                              <w:szCs w:val="24"/>
                            </w:rPr>
                            <w:t>2025-6817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5" type="#_x0000_t202" style="position:absolute;margin-left:56.850000000000001pt;margin-top:790.89999999999998pt;width:51.350000000000001pt;height:10.1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5"/>
                        <w:sz w:val="24"/>
                        <w:szCs w:val="24"/>
                      </w:rPr>
                      <w:t>2025-6817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bullet"/>
      <w:lvlText w:val="‒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2)_"/>
    <w:basedOn w:val="DefaultParagraphFont"/>
    <w:link w:val="Style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8"/>
      <w:szCs w:val="18"/>
      <w:u w:val="none"/>
    </w:rPr>
  </w:style>
  <w:style w:type="character" w:customStyle="1" w:styleId="CharStyle7">
    <w:name w:val="Body text (3)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D60B0"/>
      <w:sz w:val="16"/>
      <w:szCs w:val="16"/>
      <w:u w:val="none"/>
    </w:rPr>
  </w:style>
  <w:style w:type="character" w:customStyle="1" w:styleId="CharStyle9">
    <w:name w:val="Picture caption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D60B0"/>
      <w:sz w:val="19"/>
      <w:szCs w:val="19"/>
      <w:u w:val="none"/>
    </w:rPr>
  </w:style>
  <w:style w:type="character" w:customStyle="1" w:styleId="CharStyle11">
    <w:name w:val="Body text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3">
    <w:name w:val="Heading #1_"/>
    <w:basedOn w:val="DefaultParagraphFont"/>
    <w:link w:val="Style1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CharStyle15">
    <w:name w:val="Header or footer (2)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2">
    <w:name w:val="Body text (2)"/>
    <w:basedOn w:val="Normal"/>
    <w:link w:val="CharStyle3"/>
    <w:pPr>
      <w:widowControl w:val="0"/>
      <w:shd w:val="clear" w:color="auto" w:fill="auto"/>
      <w:spacing w:line="254" w:lineRule="auto"/>
      <w:jc w:val="center"/>
    </w:pPr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8"/>
      <w:szCs w:val="18"/>
      <w:u w:val="none"/>
    </w:rPr>
  </w:style>
  <w:style w:type="paragraph" w:customStyle="1" w:styleId="Style6">
    <w:name w:val="Body text (3)"/>
    <w:basedOn w:val="Normal"/>
    <w:link w:val="CharStyle7"/>
    <w:pPr>
      <w:widowControl w:val="0"/>
      <w:shd w:val="clear" w:color="auto" w:fill="auto"/>
      <w:spacing w:after="90" w:line="288" w:lineRule="auto"/>
      <w:ind w:firstLine="15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D60B0"/>
      <w:sz w:val="16"/>
      <w:szCs w:val="16"/>
      <w:u w:val="none"/>
    </w:rPr>
  </w:style>
  <w:style w:type="paragraph" w:customStyle="1" w:styleId="Style8">
    <w:name w:val="Picture caption"/>
    <w:basedOn w:val="Normal"/>
    <w:link w:val="CharStyle9"/>
    <w:pPr>
      <w:widowControl w:val="0"/>
      <w:shd w:val="clear" w:color="auto" w:fill="auto"/>
      <w:spacing w:line="254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D60B0"/>
      <w:sz w:val="19"/>
      <w:szCs w:val="19"/>
      <w:u w:val="none"/>
    </w:rPr>
  </w:style>
  <w:style w:type="paragraph" w:styleId="Style10">
    <w:name w:val="Body text"/>
    <w:basedOn w:val="Normal"/>
    <w:link w:val="CharStyle11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2">
    <w:name w:val="Heading #1"/>
    <w:basedOn w:val="Normal"/>
    <w:link w:val="CharStyle13"/>
    <w:pPr>
      <w:widowControl w:val="0"/>
      <w:shd w:val="clear" w:color="auto" w:fill="auto"/>
      <w:ind w:left="1200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14">
    <w:name w:val="Header or footer (2)"/>
    <w:basedOn w:val="Normal"/>
    <w:link w:val="CharStyle1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Relationship Id="rId10" Type="http://schemas.openxmlformats.org/officeDocument/2006/relationships/image" Target="media/image3.png"/><Relationship Id="rId11" Type="http://schemas.openxmlformats.org/officeDocument/2006/relationships/image" Target="media/image3.png" TargetMode="External"/><Relationship Id="rId12" Type="http://schemas.openxmlformats.org/officeDocument/2006/relationships/footer" Target="footer2.xml"/></Relationships>
</file>