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544" w:left="109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Ростовской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6"/>
        </w:rPr>
        <w:t>пр. Ворошиловский, 2/2, офис 403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6"/>
        </w:rPr>
        <w:t>г. Ростов-на-Дону, 344006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580"/>
        <w:jc w:val="left"/>
      </w:pPr>
      <w:r>
        <w:rPr>
          <w:rStyle w:val="CharStyle6"/>
        </w:rPr>
        <w:t>тел. (863) 263-31-04, факс (863) 240-99-59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6"/>
          <w:lang w:val="en-US" w:eastAsia="en-US"/>
        </w:rPr>
        <w:t>to61@fas.gov.ru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7.08.2025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НК/12444/</w:t>
      </w:r>
      <w:r>
        <w:rPr>
          <w:rStyle w:val="CharStyle11"/>
          <w:u w:val="none"/>
        </w:rPr>
        <w:t>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5"/>
        </w:rPr>
        <w:t xml:space="preserve">ООО "АВТОМОСТ" ул. Уральская, д. 99, оф. 6/48, г. Краснодар, 350080 </w:t>
      </w:r>
      <w:r>
        <w:fldChar w:fldCharType="begin"/>
      </w:r>
      <w:r>
        <w:rPr/>
        <w:instrText> HYPERLINK "mailto:ags_05@list.ru" </w:instrText>
      </w:r>
      <w:r>
        <w:fldChar w:fldCharType="separate"/>
      </w:r>
      <w:r>
        <w:rPr>
          <w:rStyle w:val="CharStyle15"/>
          <w:lang w:val="en-US" w:eastAsia="en-US"/>
        </w:rPr>
        <w:t>ags_05@list.ru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АО АГЗРТ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5"/>
        </w:rPr>
        <w:t xml:space="preserve">420021, РТ, г. Казань, ул. Московская, д. 55 </w:t>
      </w:r>
      <w:r>
        <w:fldChar w:fldCharType="begin"/>
      </w:r>
      <w:r>
        <w:rPr/>
        <w:instrText> HYPERLINK "mailto:info@mail.zakazrf.ru" </w:instrText>
      </w:r>
      <w:r>
        <w:fldChar w:fldCharType="separate"/>
      </w:r>
      <w:r>
        <w:rPr>
          <w:rStyle w:val="CharStyle15"/>
          <w:lang w:val="en-US" w:eastAsia="en-US"/>
        </w:rPr>
        <w:t>info@mail.zakazrf.ru</w:t>
      </w:r>
      <w:r>
        <w:fldChar w:fldCharType="end"/>
      </w:r>
      <w:r>
        <w:rPr>
          <w:rStyle w:val="CharStyle15"/>
          <w:lang w:val="en-US" w:eastAsia="en-US"/>
        </w:rPr>
        <w:t xml:space="preserve">; </w:t>
      </w:r>
      <w:r>
        <w:fldChar w:fldCharType="begin"/>
      </w:r>
      <w:r>
        <w:rPr/>
        <w:instrText> HYPERLINK "mailto:agzrt@tatar.ru" </w:instrText>
      </w:r>
      <w:r>
        <w:fldChar w:fldCharType="separate"/>
      </w:r>
      <w:r>
        <w:rPr>
          <w:rStyle w:val="CharStyle15"/>
          <w:lang w:val="en-US" w:eastAsia="en-US"/>
        </w:rPr>
        <w:t>agzrt@tatar.ru</w:t>
      </w:r>
      <w:r>
        <w:fldChar w:fldCharType="end"/>
      </w:r>
      <w:r>
        <w:rPr>
          <w:rStyle w:val="CharStyle15"/>
          <w:lang w:val="en-US" w:eastAsia="en-US"/>
        </w:rPr>
        <w:t xml:space="preserve">; </w:t>
      </w:r>
      <w:r>
        <w:fldChar w:fldCharType="begin"/>
      </w:r>
      <w:r>
        <w:rPr/>
        <w:instrText> HYPERLINK "mailto:info@tatar.ru" </w:instrText>
      </w:r>
      <w:r>
        <w:fldChar w:fldCharType="separate"/>
      </w:r>
      <w:r>
        <w:rPr>
          <w:rStyle w:val="CharStyle15"/>
          <w:lang w:val="en-US" w:eastAsia="en-US"/>
        </w:rPr>
        <w:t>info@tatar.ru</w:t>
      </w:r>
      <w:r>
        <w:fldChar w:fldCharType="end"/>
      </w:r>
      <w:r>
        <w:rPr>
          <w:rStyle w:val="CharStyle15"/>
          <w:lang w:val="en-US" w:eastAsia="en-US"/>
        </w:rPr>
        <w:t>; agzrt_yurist@mai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КУМИ АДМИНИСТРАЦИИ ОКТЯБРЬСКОГО РАЙОНА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346479, Ростовская обл, Октябрьский р-н, рп Каменоломни, Ростовская обл, Октябрьский р</w:t>
        <w:softHyphen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20"/>
        <w:jc w:val="both"/>
      </w:pPr>
      <w:r>
        <w:rPr>
          <w:rStyle w:val="CharStyle15"/>
        </w:rPr>
        <w:t>н, рп Каменоломни, пер Советский, дом 10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АДМИНИСТРАЦИЯ КОММУНАРСКОГО СЕЛЬСКОГО ПОСЕЛЕНИЯ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89" w:bottom="516" w:left="1130" w:header="0" w:footer="3" w:gutter="0"/>
          <w:cols w:num="2" w:space="720" w:equalWidth="0">
            <w:col w:w="4358" w:space="936"/>
            <w:col w:w="4886"/>
          </w:cols>
          <w:noEndnote/>
          <w:rtlGutter w:val="0"/>
          <w:docGrid w:linePitch="360"/>
        </w:sectPr>
      </w:pPr>
      <w:r>
        <w:rPr>
          <w:rStyle w:val="CharStyle15"/>
        </w:rPr>
        <w:t xml:space="preserve">Российская Федерация, 346481, Ростовская обл, Октябрьский р-н, Новосветловский п, Мокроусова, Д.251 </w:t>
      </w:r>
      <w:r>
        <w:fldChar w:fldCharType="begin"/>
      </w:r>
      <w:r>
        <w:rPr/>
        <w:instrText> HYPERLINK "mailto:sp28297@mail.ru" </w:instrText>
      </w:r>
      <w:r>
        <w:fldChar w:fldCharType="separate"/>
      </w:r>
      <w:r>
        <w:rPr>
          <w:rStyle w:val="CharStyle15"/>
          <w:lang w:val="en-US" w:eastAsia="en-US"/>
        </w:rPr>
        <w:t>sp28297@mail.ru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5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5981700</wp:posOffset>
                </wp:positionH>
                <wp:positionV relativeFrom="paragraph">
                  <wp:posOffset>165100</wp:posOffset>
                </wp:positionV>
                <wp:extent cx="1231265" cy="22542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г. Ростов-на-Дону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1.pt;margin-top:13.pt;width:96.950000000000003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г. Ростов-на-Дону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5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Style w:val="CharStyle15"/>
        </w:rPr>
        <w:t>27 августа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Комиссия Управления Федеральной антимонопольной службы по Ростовской области (далее - Ростовское УФАС России) по контролю в сфере размещения заказов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43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Председатель комиссии</w:t>
        <w:tab/>
        <w:t>Кожемяко Н.А.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43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Члены комиссии</w:t>
        <w:tab/>
        <w:t>Кикичева Я.В.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60" w:right="0" w:firstLine="0"/>
        <w:jc w:val="both"/>
      </w:pPr>
      <w:r>
        <w:rPr>
          <w:rStyle w:val="CharStyle15"/>
        </w:rPr>
        <w:t>Никулина Э.Д.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рассмотрев дело № 061/06/50-1524/2025 по жалобе Заявителя о нарушении комиссией Заказчика норм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запроса котировок в электронной форме № 0358300380225000146 на «Выполнение работ по подготовке проектной документации и инженерных изысканий по объекту: «Капитальный ремонт моста через реку Грушевка между х. Заречный и п. Каменоломни», в присутствии представителей Заказчика, представителя ООО «Автомост»,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520" w:right="0" w:firstLine="0"/>
        <w:jc w:val="both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Жалоба ООО «Автомост» поступила в Ростовское УФАС России 22.08.2025г. По мнению Заявителя, извещению о проведении закупки сформировано с нарушением требований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Заказчик с доводами жалобы не согласился, представил возражения.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Комиссия, по результатам рассмотрения жалобы и проведения в соответствии с ч. 15 ст. 99 Закона о контрактной системе внеплановой проверки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00"/>
        <w:jc w:val="both"/>
      </w:pPr>
      <w:r>
        <w:rPr>
          <w:rStyle w:val="CharStyle15"/>
        </w:rPr>
        <w:t xml:space="preserve">Заказчик 18.08.2025г. разместил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>в ЕИС 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1" w:bottom="516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7"/>
        </w:rPr>
        <w:t>1IIIIIIIIIIIIIIIIIIIIIII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электронной торговой площадке АГЗРТ извещение о проведении запроса котировок в электронной форме </w:t>
      </w:r>
      <w:r>
        <w:rPr>
          <w:rStyle w:val="CharStyle15"/>
          <w:lang w:val="en-US" w:eastAsia="en-US"/>
        </w:rPr>
        <w:t xml:space="preserve">№ 0358300380225000146. </w:t>
      </w:r>
      <w:r>
        <w:rPr>
          <w:rStyle w:val="CharStyle15"/>
        </w:rPr>
        <w:t xml:space="preserve">Предмет закупки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«Выполнение работ по подготовке проектной документации и инженерных изысканий по объекту: «Капитальный ремонт моста через реку Грушевка между х. Заречный и п. Каменоломни».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Начальная (максимальная) цена контракта установлена в размере </w:t>
      </w:r>
      <w:r>
        <w:rPr>
          <w:rStyle w:val="CharStyle15"/>
          <w:lang w:val="en-US" w:eastAsia="en-US"/>
        </w:rPr>
        <w:t xml:space="preserve">6 762 500,00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 соответствии с протоколом подведения итогов закупки от 27.08.2025г. поступило четыре заявки, все заявки признаны соответствующими установленным требованиям, определен победитель.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Заключение контракта приостановлено.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Из обращения Заявителя следует, что срок исполнения контракта, установленный заказчиков «с момента заключения контракта по 28.11.2025г.» является слишком коротким для такого вида работ и противоречит нормам действующего законодательства. Расчет времени, необходимый для надлежащего исполнения данного контракта, произведенный Заявителем и озвученный на комиссии составляет не менее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месяцев.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Согласно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сроке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силу п.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извещение об осуществлении закупки, если иное не предусмотрено названным Федеральным законом, должно содержать, в том числе проект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соответствии с п.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50 </w:t>
      </w:r>
      <w:r>
        <w:rPr>
          <w:rStyle w:val="CharStyle15"/>
        </w:rPr>
        <w:t xml:space="preserve">Закона о контрактной системе заключение контракта по результатам проведения электронного запроса котировок осуществляется в порядке, установленном статьей </w:t>
      </w:r>
      <w:r>
        <w:rPr>
          <w:rStyle w:val="CharStyle15"/>
          <w:lang w:val="en-US" w:eastAsia="en-US"/>
        </w:rPr>
        <w:t xml:space="preserve">51 </w:t>
      </w:r>
      <w:r>
        <w:rPr>
          <w:rStyle w:val="CharStyle15"/>
        </w:rPr>
        <w:t>настоящего Федерального закона, не ранее чем через два рабочих дня, следующих за днем размещения в единой информационной системе протокола подведения итогов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4.1 </w:t>
      </w:r>
      <w:r>
        <w:rPr>
          <w:rStyle w:val="CharStyle15"/>
        </w:rPr>
        <w:t xml:space="preserve">проекта контракта установлено, что начало работ: с даты заключения контракта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окончание работ: 28.11.2025г. включительно. Возможно досрочное выполнение работ.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5.9. </w:t>
      </w:r>
      <w:r>
        <w:rPr>
          <w:rStyle w:val="CharStyle15"/>
        </w:rPr>
        <w:t xml:space="preserve">проекта контракта предусмотрено, что Исполнитель обязан получить положительные заключения государственной экспертизы проектной и изыскательской документации, о достоверности определения сметной стоимости строительства объекта. Затраты учтены в стоимости работ, указанных в п.2.1 Контракта. За </w:t>
      </w:r>
      <w:r>
        <w:rPr>
          <w:rStyle w:val="CharStyle15"/>
          <w:lang w:val="en-US" w:eastAsia="en-US"/>
        </w:rPr>
        <w:t xml:space="preserve">30 </w:t>
      </w:r>
      <w:r>
        <w:rPr>
          <w:rStyle w:val="CharStyle15"/>
        </w:rPr>
        <w:t>дней до передачи документации в учреждение, осуществляющее государственную экспертизу представить Заказчику полный комплект проектной документации в одном экземпляре для рассмотрения. В случае выявления недоработок, доработать документацию по замечаниям Заказчика. Заказчик выдает Исполнителю доверенность (доверенности) для прохождения государственной экспертизы.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Комиссия Ростовского УФАС России не принимает довод Заявителя о том, что необходимо не менее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месяцев для выполнения работ являющихся предметом контракта, исходя из того, что: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во-первых, Заявитель не может подтвердить факт невозможности выполнения данного контракта в установленный Заказчиком период,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во-вторых, при расчете срока «не менее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месяцев», Заявитель использовал максимально возможный период, установленный контрольно-надзорными органами для проведения проверок, экспертизы и т. 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Кроме того, необходимо отметить, что на участие в рассматриваемом запросе котировок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поступило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заявки, все заявки признаны соответствующими требованиям извещения, что само по себе опровергает довод жалобы Заявителя о невозможно исполнения контракта в установленный Заказчиком срок.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Учитывая изложенное, довод жалобы не нашел своего подтверждения.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5"/>
        </w:rPr>
        <w:t xml:space="preserve">На основании Постановления Правительства РФ от 26.08.2013г. </w:t>
      </w:r>
      <w:r>
        <w:rPr>
          <w:rStyle w:val="CharStyle15"/>
          <w:lang w:val="en-US" w:eastAsia="en-US"/>
        </w:rPr>
        <w:t xml:space="preserve">№ 728, </w:t>
      </w:r>
      <w:r>
        <w:rPr>
          <w:rStyle w:val="CharStyle15"/>
        </w:rPr>
        <w:t xml:space="preserve">в соответствии с ч.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5"/>
        </w:rPr>
        <w:t>Признать жалобу ООО «Автомост»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2"/>
          <w:szCs w:val="22"/>
        </w:rPr>
      </w:pPr>
      <w:r>
        <w:rPr>
          <w:rStyle w:val="CharStyle15"/>
          <w:sz w:val="22"/>
          <w:szCs w:val="22"/>
        </w:rPr>
        <w:t xml:space="preserve">В силу ч. </w:t>
      </w:r>
      <w:r>
        <w:rPr>
          <w:rStyle w:val="CharStyle15"/>
          <w:sz w:val="22"/>
          <w:szCs w:val="22"/>
          <w:lang w:val="en-US" w:eastAsia="en-US"/>
        </w:rPr>
        <w:t xml:space="preserve">9 </w:t>
      </w:r>
      <w:r>
        <w:rPr>
          <w:rStyle w:val="CharStyle15"/>
          <w:sz w:val="22"/>
          <w:szCs w:val="22"/>
        </w:rPr>
        <w:t xml:space="preserve">ст. </w:t>
      </w:r>
      <w:r>
        <w:rPr>
          <w:rStyle w:val="CharStyle15"/>
          <w:sz w:val="22"/>
          <w:szCs w:val="22"/>
          <w:lang w:val="en-US" w:eastAsia="en-US"/>
        </w:rPr>
        <w:t xml:space="preserve">106 </w:t>
      </w:r>
      <w:r>
        <w:rPr>
          <w:rStyle w:val="CharStyle15"/>
          <w:sz w:val="22"/>
          <w:szCs w:val="22"/>
        </w:rPr>
        <w:t>Закона о контрактной системе решение может быть обжаловано в судебном порядке в течение трех месяцев со дня его принятия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53" w:right="548" w:bottom="1119" w:left="1104" w:header="625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71475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508000</wp:posOffset>
                </wp:positionV>
                <wp:extent cx="1633855" cy="2197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00000000000004pt;margin-top:40.pt;width:128.65000000000001pt;height:17.300000000000001pt;z-index:-125829373;mso-wrap-distance-left:0;mso-wrap-distance-top:40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68960" distB="0" distL="0" distR="1786255" simplePos="0" relativeHeight="125829382" behindDoc="0" locked="0" layoutInCell="1" allowOverlap="1">
            <wp:simplePos x="0" y="0"/>
            <wp:positionH relativeFrom="page">
              <wp:posOffset>2645410</wp:posOffset>
            </wp:positionH>
            <wp:positionV relativeFrom="paragraph">
              <wp:posOffset>568960</wp:posOffset>
            </wp:positionV>
            <wp:extent cx="365760" cy="53022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983615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25pt;margin-top:7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666750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15000000000001pt;margin-top:5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0250" distB="143510" distL="0" distR="0" simplePos="0" relativeHeight="125829383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730250</wp:posOffset>
                </wp:positionV>
                <wp:extent cx="1048385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Н.А. Кожемяко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35000000000002pt;margin-top:57.5pt;width:82.549999999999997pt;height:17.75pt;z-index:-125829370;mso-wrap-distance-left:0;mso-wrap-distance-top:57.5pt;mso-wrap-distance-right:0;mso-wrap-distance-bottom:11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Н.А. Кожемяко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Кожемяко Наталья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0B627C9A5F3F31452554FE8FD20F290A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Действителен с 04.08.2025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28.10.2026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5" w:bottom="446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365760" distL="0" distR="0" simplePos="0" relativeHeight="125829385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165100</wp:posOffset>
                </wp:positionV>
                <wp:extent cx="1203960" cy="22542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050000000000004pt;margin-top:13.pt;width:94.799999999999997pt;height:17.75pt;z-index:-125829368;mso-wrap-distance-left:0;mso-wrap-distance-top:13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4950" distB="0" distL="0" distR="1786255" simplePos="0" relativeHeight="125829387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234950</wp:posOffset>
            </wp:positionV>
            <wp:extent cx="359410" cy="52451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640080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25pt;margin-top:50.3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323215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9999999999999pt;margin-top:25.4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65760" distL="0" distR="0" simplePos="0" relativeHeight="125829388" behindDoc="0" locked="0" layoutInCell="1" allowOverlap="1">
                <wp:simplePos x="0" y="0"/>
                <wp:positionH relativeFrom="page">
                  <wp:posOffset>6177915</wp:posOffset>
                </wp:positionH>
                <wp:positionV relativeFrom="paragraph">
                  <wp:posOffset>165100</wp:posOffset>
                </wp:positionV>
                <wp:extent cx="1012190" cy="22542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Я.В. Кикичева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6.44999999999999pt;margin-top:13.pt;width:79.700000000000003pt;height:17.75pt;z-index:-125829365;mso-wrap-distance-left:0;mso-wrap-distance-top:13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Я.В. Кикичева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Кикичева Яна Викторовна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67E8D529C0FBDFA4062567E6DF47B5E1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6162675</wp:posOffset>
                </wp:positionH>
                <wp:positionV relativeFrom="paragraph">
                  <wp:posOffset>342900</wp:posOffset>
                </wp:positionV>
                <wp:extent cx="1027430" cy="225425"/>
                <wp:wrapSquare wrapText="lef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Э.Д. Никулина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5.25pt;margin-top:27.pt;width:80.900000000000006pt;height:17.75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Э.Д. Никулина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3"/>
        </w:rPr>
        <w:t xml:space="preserve">Действителен с 03.04.2025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27.06.2026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8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Никулина Элина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72501061</w:t>
      </w:r>
      <w:r>
        <w:rPr>
          <w:rStyle w:val="CharStyle23"/>
          <w:lang w:val="en-US" w:eastAsia="en-US"/>
        </w:rPr>
        <w:t>4AD8A2D6FA2EB8AFF60015BA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rStyle w:val="CharStyle23"/>
        </w:rPr>
        <w:t xml:space="preserve">Действителен с 03.04.2025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27.06.2026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Исп.Кикичева Я.В.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тел.(863) 240-89-60 вн.061-153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5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10284460</wp:posOffset>
              </wp:positionV>
              <wp:extent cx="73469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2025-14148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809.80000000000007pt;width:57.85000000000000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2025-14148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10045700</wp:posOffset>
              </wp:positionV>
              <wp:extent cx="73469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2025-14148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91.pt;width:57.850000000000001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2025-14148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8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