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801370</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35299/25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00000000000001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35299/25</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ФГБУ «НМИЦК им. ак. Е.И. Чазова» Минздрава России</w:t>
      </w:r>
    </w:p>
    <w:p>
      <w:pPr>
        <w:pStyle w:val="Style6"/>
        <w:keepNext w:val="0"/>
        <w:keepLines w:val="0"/>
        <w:widowControl w:val="0"/>
        <w:shd w:val="clear" w:color="auto" w:fill="auto"/>
        <w:bidi w:val="0"/>
        <w:spacing w:before="0" w:after="200" w:line="240" w:lineRule="auto"/>
        <w:ind w:left="1140" w:right="0" w:firstLine="0"/>
        <w:jc w:val="left"/>
      </w:pPr>
      <w:r>
        <w:fldChar w:fldCharType="begin"/>
      </w:r>
      <w:r>
        <w:rPr/>
        <w:instrText> HYPERLINK "mailto:omts-kardio@yandex.ru" </w:instrText>
      </w:r>
      <w:r>
        <w:fldChar w:fldCharType="separate"/>
      </w:r>
      <w:r>
        <w:rPr>
          <w:rStyle w:val="CharStyle7"/>
          <w:lang w:val="en-US" w:eastAsia="en-US"/>
        </w:rPr>
        <w:t>omts-kardio@yandex.ru</w:t>
      </w:r>
      <w:r>
        <w:fldChar w:fldCharType="end"/>
      </w:r>
    </w:p>
    <w:p>
      <w:pPr>
        <w:pStyle w:val="Style6"/>
        <w:keepNext w:val="0"/>
        <w:keepLines w:val="0"/>
        <w:widowControl w:val="0"/>
        <w:shd w:val="clear" w:color="auto" w:fill="auto"/>
        <w:bidi w:val="0"/>
        <w:spacing w:before="0" w:after="200" w:line="240" w:lineRule="auto"/>
        <w:ind w:left="1140" w:right="0" w:firstLine="0"/>
        <w:jc w:val="left"/>
      </w:pPr>
      <w:r>
        <w:rPr>
          <w:rStyle w:val="CharStyle7"/>
        </w:rPr>
        <w:t>ИП Белина Т.В.</w:t>
      </w:r>
    </w:p>
    <w:p>
      <w:pPr>
        <w:pStyle w:val="Style6"/>
        <w:keepNext w:val="0"/>
        <w:keepLines w:val="0"/>
        <w:widowControl w:val="0"/>
        <w:shd w:val="clear" w:color="auto" w:fill="auto"/>
        <w:bidi w:val="0"/>
        <w:spacing w:before="0" w:after="200" w:line="240" w:lineRule="auto"/>
        <w:ind w:left="1140" w:right="0" w:firstLine="0"/>
        <w:jc w:val="left"/>
      </w:pPr>
      <w:r>
        <w:fldChar w:fldCharType="begin"/>
      </w:r>
      <w:r>
        <w:rPr/>
        <w:instrText> HYPERLINK "mailto:tatyanabelinaa@gmail.com" </w:instrText>
      </w:r>
      <w:r>
        <w:fldChar w:fldCharType="separate"/>
      </w:r>
      <w:r>
        <w:rPr>
          <w:rStyle w:val="CharStyle7"/>
          <w:lang w:val="en-US" w:eastAsia="en-US"/>
        </w:rPr>
        <w:t>tatyanabelinaa@gmail.com</w:t>
      </w:r>
      <w:r>
        <w:fldChar w:fldCharType="end"/>
      </w:r>
    </w:p>
    <w:p>
      <w:pPr>
        <w:pStyle w:val="Style6"/>
        <w:keepNext w:val="0"/>
        <w:keepLines w:val="0"/>
        <w:widowControl w:val="0"/>
        <w:shd w:val="clear" w:color="auto" w:fill="auto"/>
        <w:bidi w:val="0"/>
        <w:spacing w:before="0" w:after="200" w:line="240" w:lineRule="auto"/>
        <w:ind w:left="1140" w:right="0" w:firstLine="0"/>
        <w:jc w:val="left"/>
      </w:pPr>
      <w:r>
        <w:rPr>
          <w:rStyle w:val="CharStyle7"/>
        </w:rPr>
        <w:t>АО «Сбербанк-АСТ»</w:t>
      </w:r>
    </w:p>
    <w:p>
      <w:pPr>
        <w:pStyle w:val="Style6"/>
        <w:keepNext w:val="0"/>
        <w:keepLines w:val="0"/>
        <w:widowControl w:val="0"/>
        <w:shd w:val="clear" w:color="auto" w:fill="auto"/>
        <w:bidi w:val="0"/>
        <w:spacing w:before="0" w:after="1060" w:line="240" w:lineRule="auto"/>
        <w:ind w:left="5320" w:right="0" w:firstLine="0"/>
        <w:jc w:val="left"/>
      </w:pPr>
      <w:r>
        <w:fldChar w:fldCharType="begin"/>
      </w:r>
      <w:r>
        <w:rPr/>
        <w:instrText> HYPERLINK "mailto:info@sberbank-ast.ru" </w:instrText>
      </w:r>
      <w:r>
        <w:fldChar w:fldCharType="separate"/>
      </w:r>
      <w:r>
        <w:rPr>
          <w:rStyle w:val="CharStyle7"/>
          <w:lang w:val="en-US" w:eastAsia="en-US"/>
        </w:rPr>
        <w:t>info@sberbank-ast.ru</w:t>
      </w:r>
      <w:r>
        <w:fldChar w:fldCharType="end"/>
      </w:r>
    </w:p>
    <w:p>
      <w:pPr>
        <w:pStyle w:val="Style6"/>
        <w:keepNext w:val="0"/>
        <w:keepLines w:val="0"/>
        <w:widowControl w:val="0"/>
        <w:shd w:val="clear" w:color="auto" w:fill="auto"/>
        <w:bidi w:val="0"/>
        <w:spacing w:before="0" w:after="8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№077/06/106-10925/2025 </w:t>
      </w:r>
      <w:r>
        <w:rPr>
          <w:rStyle w:val="CharStyle7"/>
          <w:b/>
          <w:bCs/>
        </w:rPr>
        <w:t>о нарушении</w:t>
        <w:br/>
        <w:t>законодательства о контрактной системе</w:t>
        <w:br/>
      </w:r>
      <w:r>
        <w:rPr>
          <w:rStyle w:val="CharStyle7"/>
          <w:b/>
          <w:bCs/>
          <w:lang w:val="en-US" w:eastAsia="en-US"/>
        </w:rPr>
        <w:t>28.08.2025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ИП Белина Т.В.: С.П. Андрусенко (дов.№б/н от </w:t>
      </w:r>
      <w:r>
        <w:rPr>
          <w:rStyle w:val="CharStyle7"/>
          <w:lang w:val="en-US" w:eastAsia="en-US"/>
        </w:rPr>
        <w:t xml:space="preserve">16.05.2025), </w:t>
      </w:r>
      <w:r>
        <w:rPr>
          <w:rStyle w:val="CharStyle7"/>
        </w:rPr>
        <w:t xml:space="preserve">В.В. Мацькова (дов.№б/н от </w:t>
      </w:r>
      <w:r>
        <w:rPr>
          <w:rStyle w:val="CharStyle7"/>
          <w:lang w:val="en-US" w:eastAsia="en-US"/>
        </w:rPr>
        <w:t>16.05.2025),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ФГБУ «НМИЦК им. ак. Е.И. Чазова» Минздрава России: Русакова К.А. (дов. №б/н от </w:t>
      </w:r>
      <w:r>
        <w:rPr>
          <w:rStyle w:val="CharStyle7"/>
          <w:lang w:val="en-US" w:eastAsia="en-US"/>
        </w:rPr>
        <w:t>13.08.2025),</w:t>
      </w:r>
    </w:p>
    <w:p>
      <w:pPr>
        <w:pStyle w:val="Style6"/>
        <w:keepNext w:val="0"/>
        <w:keepLines w:val="0"/>
        <w:widowControl w:val="0"/>
        <w:shd w:val="clear" w:color="auto" w:fill="auto"/>
        <w:bidi w:val="0"/>
        <w:spacing w:before="0" w:after="200" w:line="240" w:lineRule="auto"/>
        <w:ind w:left="0" w:right="0" w:firstLine="700"/>
        <w:jc w:val="both"/>
      </w:pPr>
      <w:r>
        <w:drawing>
          <wp:anchor distT="0" distB="0" distL="114300" distR="114300" simplePos="0" relativeHeight="125829381" behindDoc="0" locked="0" layoutInCell="1" allowOverlap="1">
            <wp:simplePos x="0" y="0"/>
            <wp:positionH relativeFrom="page">
              <wp:posOffset>716280</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рассмотрев жалобу ИП Белина Т.В. (далее </w:t>
      </w:r>
      <w:r>
        <w:rPr>
          <w:rStyle w:val="CharStyle7"/>
          <w:lang w:val="en-US" w:eastAsia="en-US"/>
        </w:rPr>
        <w:t xml:space="preserve">— </w:t>
      </w:r>
      <w:r>
        <w:rPr>
          <w:rStyle w:val="CharStyle7"/>
        </w:rPr>
        <w:t xml:space="preserve">Заявитель) на действия ФГБУ «НМИЦК им. ак. Е.И. Чазова» Минздрава России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поставка расходного материала </w:t>
      </w:r>
      <w:r>
        <w:rPr>
          <w:rStyle w:val="CharStyle7"/>
          <w:lang w:val="en-US" w:eastAsia="en-US"/>
        </w:rPr>
        <w:t xml:space="preserve">(436) </w:t>
      </w:r>
      <w:r>
        <w:rPr>
          <w:rStyle w:val="CharStyle7"/>
        </w:rPr>
        <w:t xml:space="preserve">(Закупка </w:t>
      </w:r>
      <w:r>
        <w:rPr>
          <w:rStyle w:val="CharStyle7"/>
          <w:lang w:val="en-US" w:eastAsia="en-US"/>
        </w:rPr>
        <w:t xml:space="preserve">№ 0373100015825000448)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w:t>
      </w:r>
    </w:p>
    <w:p>
      <w:pPr>
        <w:pStyle w:val="Style6"/>
        <w:keepNext w:val="0"/>
        <w:keepLines w:val="0"/>
        <w:widowControl w:val="0"/>
        <w:shd w:val="clear" w:color="auto" w:fill="auto"/>
        <w:bidi w:val="0"/>
        <w:spacing w:before="0" w:after="300" w:line="254" w:lineRule="auto"/>
        <w:ind w:left="0" w:right="0" w:firstLine="0"/>
        <w:jc w:val="both"/>
      </w:pPr>
      <w:r>
        <w:rPr>
          <w:rStyle w:val="CharStyle7"/>
        </w:rPr>
        <w:t>Закон о контрактной системе),</w:t>
      </w:r>
    </w:p>
    <w:p>
      <w:pPr>
        <w:pStyle w:val="Style6"/>
        <w:keepNext w:val="0"/>
        <w:keepLines w:val="0"/>
        <w:widowControl w:val="0"/>
        <w:shd w:val="clear" w:color="auto" w:fill="auto"/>
        <w:bidi w:val="0"/>
        <w:spacing w:before="0" w:after="300" w:line="254"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4"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6"/>
        <w:keepNext w:val="0"/>
        <w:keepLines w:val="0"/>
        <w:widowControl w:val="0"/>
        <w:numPr>
          <w:ilvl w:val="0"/>
          <w:numId w:val="1"/>
        </w:numPr>
        <w:shd w:val="clear" w:color="auto" w:fill="auto"/>
        <w:tabs>
          <w:tab w:pos="1421" w:val="left"/>
        </w:tabs>
        <w:bidi w:val="0"/>
        <w:spacing w:before="0" w:after="0" w:line="254" w:lineRule="auto"/>
        <w:ind w:left="0" w:right="0" w:firstLine="700"/>
        <w:jc w:val="both"/>
      </w:pPr>
      <w:r>
        <w:rPr>
          <w:rStyle w:val="CharStyle7"/>
        </w:rPr>
        <w:t xml:space="preserve">В составе жалобы Заявитель указывает, что установленные Заказчиком требования к характеристикам необходимых к поставке изделий «Стент для коронарных артерий, выделяющий лекарственное средство», товарные позиции </w:t>
      </w:r>
      <w:r>
        <w:rPr>
          <w:rStyle w:val="CharStyle7"/>
          <w:lang w:val="en-US" w:eastAsia="en-US"/>
        </w:rPr>
        <w:t xml:space="preserve">189082226, 189082240, 189082284, 189082200, 189082209, </w:t>
      </w:r>
      <w:r>
        <w:rPr>
          <w:rStyle w:val="CharStyle7"/>
        </w:rPr>
        <w:t>ограничивают круг участников закупки, поскольку совокупности установленных требований к изделию соответствуют изделия единственного производителя «Эбботт Медикал».</w:t>
      </w:r>
    </w:p>
    <w:p>
      <w:pPr>
        <w:pStyle w:val="Style6"/>
        <w:keepNext w:val="0"/>
        <w:keepLines w:val="0"/>
        <w:widowControl w:val="0"/>
        <w:shd w:val="clear" w:color="auto" w:fill="auto"/>
        <w:bidi w:val="0"/>
        <w:spacing w:before="0" w:after="0" w:line="254" w:lineRule="auto"/>
        <w:ind w:left="0" w:right="0" w:firstLine="700"/>
        <w:jc w:val="both"/>
      </w:pPr>
      <w:r>
        <w:rPr>
          <w:rStyle w:val="CharStyle7"/>
        </w:rPr>
        <w:t>При этом ограничивающим требованием является следующее требование к изделиям: «Стерильная нерассасывающаяся металлическая трубчатая сетчатая структура, покрытая нерассасывающимся полимером и лекарственным средством, предназначенная для имплантации с помощью катетера для доставки в коронарную артерию (или в трансплантат из подкожной вены) для поддержания ее проходимости, как правило, у пациентов с симптоматической атеросклеротической болезнью сердца. Лекарственное средство медленно высвобождается и предназначается для ингибирования рестеноза сосудов за счет снижения пролиферации клеток гладких мышц сосудов. Могут прилагаться одноразовые изделия, необходимые для имплантации: соответствие» в части указания «покрытая нерассасывающимся полимером».</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300" w:line="257" w:lineRule="auto"/>
        <w:ind w:left="0" w:right="0" w:firstLine="700"/>
        <w:jc w:val="both"/>
        <w:rPr>
          <w:sz w:val="24"/>
          <w:szCs w:val="24"/>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9" w:bottom="1368" w:left="1104" w:header="0" w:footer="3" w:gutter="0"/>
          <w:pgNumType w:start="1"/>
          <w:cols w:space="720"/>
          <w:noEndnote/>
          <w:titlePg/>
          <w:rtlGutter w:val="0"/>
          <w:docGrid w:linePitch="360"/>
        </w:sectPr>
      </w:pPr>
      <w:r>
        <w:rPr>
          <w:rStyle w:val="CharStyle7"/>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w:t>
      </w:r>
      <w:r>
        <w:rPr>
          <w:rStyle w:val="CharStyle7"/>
          <w:sz w:val="24"/>
          <w:szCs w:val="24"/>
          <w:lang w:val="en-US" w:eastAsia="en-US"/>
        </w:rPr>
        <w:t>2025-39965</w:t>
      </w:r>
    </w:p>
    <w:p>
      <w:pPr>
        <w:pStyle w:val="Style6"/>
        <w:keepNext w:val="0"/>
        <w:keepLines w:val="0"/>
        <w:widowControl w:val="0"/>
        <w:shd w:val="clear" w:color="auto" w:fill="auto"/>
        <w:bidi w:val="0"/>
        <w:spacing w:before="0" w:after="0"/>
        <w:ind w:left="0" w:right="0" w:firstLine="0"/>
        <w:jc w:val="both"/>
      </w:pPr>
      <w:r>
        <w:rPr>
          <w:rStyle w:val="CharStyle7"/>
        </w:rPr>
        <w:t>товарный знак в следующих случаях:</w:t>
      </w:r>
    </w:p>
    <w:p>
      <w:pPr>
        <w:pStyle w:val="Style6"/>
        <w:keepNext w:val="0"/>
        <w:keepLines w:val="0"/>
        <w:widowControl w:val="0"/>
        <w:numPr>
          <w:ilvl w:val="0"/>
          <w:numId w:val="3"/>
        </w:numPr>
        <w:shd w:val="clear" w:color="auto" w:fill="auto"/>
        <w:tabs>
          <w:tab w:pos="1061" w:val="left"/>
        </w:tabs>
        <w:bidi w:val="0"/>
        <w:spacing w:before="0" w:after="40"/>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109" w:val="left"/>
        </w:tabs>
        <w:bidi w:val="0"/>
        <w:spacing w:before="0" w:after="0"/>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109" w:val="left"/>
        </w:tabs>
        <w:bidi w:val="0"/>
        <w:spacing w:before="0" w:after="0"/>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109" w:val="left"/>
        </w:tabs>
        <w:bidi w:val="0"/>
        <w:spacing w:before="0" w:after="0"/>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ind w:left="0" w:right="0" w:firstLine="700"/>
        <w:jc w:val="both"/>
      </w:pPr>
      <w:r>
        <w:rPr>
          <w:rStyle w:val="CharStyle7"/>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7"/>
          <w:lang w:val="en-US" w:eastAsia="en-US"/>
        </w:rPr>
        <w:t xml:space="preserve">- </w:t>
      </w:r>
      <w:r>
        <w:rPr>
          <w:rStyle w:val="CharStyle7"/>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ind w:left="0" w:right="0" w:firstLine="700"/>
        <w:jc w:val="both"/>
      </w:pPr>
      <w:r>
        <w:rPr>
          <w:rStyle w:val="CharStyle7"/>
        </w:rPr>
        <w:t xml:space="preserve">Комиссией Управления установлено, что в описании объекта закупки Заказчиком установлены требования к характеристикам закупаемых изделий«Стент для коронарных артерий, выделяющий лекарственное средство» товарные позиции </w:t>
      </w:r>
      <w:r>
        <w:rPr>
          <w:rStyle w:val="CharStyle7"/>
          <w:lang w:val="en-US" w:eastAsia="en-US"/>
        </w:rPr>
        <w:t xml:space="preserve">189082226, 189082240, 189082284, 189082200, 189082209, </w:t>
      </w:r>
      <w:r>
        <w:rPr>
          <w:rStyle w:val="CharStyle7"/>
        </w:rPr>
        <w:t>в том числе:</w:t>
      </w:r>
    </w:p>
    <w:p>
      <w:pPr>
        <w:pStyle w:val="Style6"/>
        <w:keepNext w:val="0"/>
        <w:keepLines w:val="0"/>
        <w:widowControl w:val="0"/>
        <w:shd w:val="clear" w:color="auto" w:fill="auto"/>
        <w:bidi w:val="0"/>
        <w:spacing w:before="0" w:after="0"/>
        <w:ind w:left="0" w:right="0" w:firstLine="700"/>
        <w:jc w:val="both"/>
      </w:pPr>
      <w:r>
        <w:rPr>
          <w:rStyle w:val="CharStyle7"/>
        </w:rPr>
        <w:t>«Стерильная нерассасывающаяся металлическая трубчатая сетчатая структура, покрытая нерассасывающимся полимером и лекарственным средством, предназначенная для имплантации с помощью катетера для доставки в коронарную артерию (или в трансплантат из подкожной вены) для поддержания ее проходимости, как правило, у пациентов с симптоматической атеросклеротической болезнью сердца. Лекарственное средство медленно высвобождается и предназначается для ингибирования рестеноза сосудов за счет снижения пролиферации клеток гладких мышц сосудов. Могут прилагаться</w:t>
      </w:r>
    </w:p>
    <w:p>
      <w:pPr>
        <w:pStyle w:val="Style6"/>
        <w:keepNext w:val="0"/>
        <w:keepLines w:val="0"/>
        <w:widowControl w:val="0"/>
        <w:shd w:val="clear" w:color="auto" w:fill="auto"/>
        <w:bidi w:val="0"/>
        <w:spacing w:before="0" w:after="0"/>
        <w:ind w:left="0" w:right="0" w:firstLine="0"/>
        <w:jc w:val="both"/>
      </w:pPr>
      <w:r>
        <w:rPr>
          <w:rStyle w:val="CharStyle7"/>
        </w:rPr>
        <w:t>одноразовые изделия, необходимые для имплантации: соответствие».</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820"/>
        <w:jc w:val="both"/>
      </w:pPr>
      <w:r>
        <w:rPr>
          <w:rStyle w:val="CharStyle7"/>
        </w:rPr>
        <w:t xml:space="preserve">На заседании Комиссии Управления представитель Заказчика пояснил, что требования к характеристикам закупаемых изделий установлены Заказчиком в соответствии с потребностью учреждения, при этом, вопреки доводам жалобы, совокупности требований извещения по спорным товарным позициям, помимо изделий производства компании «Эбботт Медикал», также соответствует изделие «Стенты коронарные баллонорасширяемые хирургические стерильные на системе доставки по ТУ </w:t>
      </w:r>
      <w:r>
        <w:rPr>
          <w:rStyle w:val="CharStyle7"/>
          <w:lang w:val="en-US" w:eastAsia="en-US"/>
        </w:rPr>
        <w:t xml:space="preserve">9398-001-37354537-2013», </w:t>
      </w:r>
      <w:r>
        <w:rPr>
          <w:rStyle w:val="CharStyle7"/>
        </w:rPr>
        <w:t xml:space="preserve">производства АО «Стентоник»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2014/1782 </w:t>
      </w:r>
      <w:r>
        <w:rPr>
          <w:rStyle w:val="CharStyle7"/>
        </w:rPr>
        <w:t xml:space="preserve">от </w:t>
      </w:r>
      <w:r>
        <w:rPr>
          <w:rStyle w:val="CharStyle7"/>
          <w:lang w:val="en-US" w:eastAsia="en-US"/>
        </w:rPr>
        <w:t>05.09.2017).</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Комиссия Управления отмечает, что инструкция размещенная на сайте Росздравнадзора на медицинское изделие «Стенты коронарные баллонорасширяемые хирургические стерильные на системе доставки по ТУ </w:t>
      </w:r>
      <w:r>
        <w:rPr>
          <w:rStyle w:val="CharStyle7"/>
          <w:lang w:val="en-US" w:eastAsia="en-US"/>
        </w:rPr>
        <w:t xml:space="preserve">9398- 001-37354537-2013», </w:t>
      </w:r>
      <w:r>
        <w:rPr>
          <w:rStyle w:val="CharStyle7"/>
        </w:rPr>
        <w:t>производства АО «Стентоник», не содержит указания на наличие покрытия с нерассасывающимся полимером.</w:t>
      </w:r>
    </w:p>
    <w:p>
      <w:pPr>
        <w:pStyle w:val="Style6"/>
        <w:keepNext w:val="0"/>
        <w:keepLines w:val="0"/>
        <w:widowControl w:val="0"/>
        <w:shd w:val="clear" w:color="auto" w:fill="auto"/>
        <w:bidi w:val="0"/>
        <w:spacing w:before="0" w:after="0"/>
        <w:ind w:left="0" w:right="0" w:firstLine="700"/>
        <w:jc w:val="both"/>
      </w:pPr>
      <w:r>
        <w:rPr>
          <w:rStyle w:val="CharStyle7"/>
        </w:rPr>
        <w:t>Вместе с этим на заседании Комиссии Управления представителем Заказчика не представлено иных документов и сведений, подтверждающих соответствие совокупности требований извещения изделий нескольких производителей.</w:t>
      </w:r>
    </w:p>
    <w:p>
      <w:pPr>
        <w:pStyle w:val="Style6"/>
        <w:keepNext w:val="0"/>
        <w:keepLines w:val="0"/>
        <w:widowControl w:val="0"/>
        <w:shd w:val="clear" w:color="auto" w:fill="auto"/>
        <w:bidi w:val="0"/>
        <w:spacing w:before="0" w:after="0"/>
        <w:ind w:left="0" w:right="0" w:firstLine="700"/>
        <w:jc w:val="both"/>
      </w:pPr>
      <w:r>
        <w:rPr>
          <w:rStyle w:val="CharStyle7"/>
        </w:rPr>
        <w:t>Вместе с этим, Комиссии Управления, в отсутствие документов и сведений, подтверждающих соответствие совокупности требований извещения изделий нескольких производителей, не представляется возможным приходит к выводу, что совокупности требований извещения соответствуют изделия нескольких производителей.</w:t>
      </w:r>
    </w:p>
    <w:p>
      <w:pPr>
        <w:pStyle w:val="Style6"/>
        <w:keepNext w:val="0"/>
        <w:keepLines w:val="0"/>
        <w:widowControl w:val="0"/>
        <w:shd w:val="clear" w:color="auto" w:fill="auto"/>
        <w:bidi w:val="0"/>
        <w:spacing w:before="0" w:after="0"/>
        <w:ind w:left="0" w:right="0" w:firstLine="700"/>
        <w:jc w:val="both"/>
      </w:pPr>
      <w:r>
        <w:rPr>
          <w:rStyle w:val="CharStyle7"/>
        </w:rPr>
        <w:t>На основе вышеизложенного, Комиссия Управления приходит к выводу о нарушении Заказчиком положений п.1 ч.1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rStyle w:val="CharStyle7"/>
        </w:rPr>
        <w:t xml:space="preserve">Также в составе жалобы Заявитель указывает, что установленные Заказчиком требования к характеристикам необходимого к поставке изделия «Интродьюсер для ввода медицинских инструментов при сердечно-сосудистых заболеваниях, неуправляемый», товарная позиция </w:t>
      </w:r>
      <w:r>
        <w:rPr>
          <w:rStyle w:val="CharStyle7"/>
          <w:lang w:val="en-US" w:eastAsia="en-US"/>
        </w:rPr>
        <w:t xml:space="preserve">189082271, </w:t>
      </w:r>
      <w:r>
        <w:rPr>
          <w:rStyle w:val="CharStyle7"/>
        </w:rPr>
        <w:t>ограничивают круг участников закупки, поскольку совокупности установленных требований к изделию соответствуют изделия единственного производителя «Мерит Медикал Системз, Инк.».</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уставлено, что в извещении об осуществлении закупки Заказчиком установлены следующие требования к закупаемому изделию</w:t>
      </w:r>
    </w:p>
    <w:p>
      <w:pPr>
        <w:pStyle w:val="Style6"/>
        <w:keepNext w:val="0"/>
        <w:keepLines w:val="0"/>
        <w:widowControl w:val="0"/>
        <w:shd w:val="clear" w:color="auto" w:fill="auto"/>
        <w:bidi w:val="0"/>
        <w:spacing w:before="0" w:after="0"/>
        <w:ind w:left="0" w:right="0" w:firstLine="0"/>
        <w:jc w:val="both"/>
      </w:pPr>
      <w:r>
        <w:rPr>
          <w:rStyle w:val="CharStyle7"/>
        </w:rPr>
        <w:t xml:space="preserve">«Интродьюсер для ввода медицинских инструментов при сердечно-сосудистых заболеваниях, неуправляемый», товарная позиция </w:t>
      </w:r>
      <w:r>
        <w:rPr>
          <w:rStyle w:val="CharStyle7"/>
          <w:lang w:val="en-US" w:eastAsia="en-US"/>
        </w:rPr>
        <w:t>189082271:</w:t>
      </w:r>
    </w:p>
    <w:p>
      <w:pPr>
        <w:pStyle w:val="Style6"/>
        <w:keepNext w:val="0"/>
        <w:keepLines w:val="0"/>
        <w:widowControl w:val="0"/>
        <w:numPr>
          <w:ilvl w:val="0"/>
          <w:numId w:val="5"/>
        </w:numPr>
        <w:shd w:val="clear" w:color="auto" w:fill="auto"/>
        <w:tabs>
          <w:tab w:pos="1403" w:val="left"/>
        </w:tabs>
        <w:bidi w:val="0"/>
        <w:spacing w:before="0" w:after="0"/>
        <w:ind w:left="0" w:right="0" w:firstLine="700"/>
        <w:jc w:val="both"/>
      </w:pPr>
      <w:r>
        <w:rPr>
          <w:rStyle w:val="CharStyle7"/>
        </w:rPr>
        <w:t xml:space="preserve">«Длина неуправляемого интродьюсера: </w:t>
      </w:r>
      <w:r>
        <w:rPr>
          <w:rStyle w:val="CharStyle7"/>
          <w:lang w:val="en-US" w:eastAsia="en-US"/>
        </w:rPr>
        <w:t xml:space="preserve">≥ 80 </w:t>
      </w:r>
      <w:r>
        <w:rPr>
          <w:rStyle w:val="CharStyle7"/>
        </w:rPr>
        <w:t xml:space="preserve">и </w:t>
      </w:r>
      <w:r>
        <w:rPr>
          <w:rStyle w:val="CharStyle7"/>
          <w:lang w:val="en-US" w:eastAsia="en-US"/>
        </w:rPr>
        <w:t xml:space="preserve">≤ 100 </w:t>
      </w:r>
      <w:r>
        <w:rPr>
          <w:rStyle w:val="CharStyle7"/>
        </w:rPr>
        <w:t>Миллиметр»;</w:t>
      </w:r>
    </w:p>
    <w:p>
      <w:pPr>
        <w:pStyle w:val="Style6"/>
        <w:keepNext w:val="0"/>
        <w:keepLines w:val="0"/>
        <w:widowControl w:val="0"/>
        <w:numPr>
          <w:ilvl w:val="0"/>
          <w:numId w:val="5"/>
        </w:numPr>
        <w:shd w:val="clear" w:color="auto" w:fill="auto"/>
        <w:tabs>
          <w:tab w:pos="1403" w:val="left"/>
        </w:tabs>
        <w:bidi w:val="0"/>
        <w:spacing w:before="0" w:after="0"/>
        <w:ind w:left="0" w:right="0" w:firstLine="700"/>
        <w:jc w:val="both"/>
      </w:pPr>
      <w:r>
        <w:rPr>
          <w:rStyle w:val="CharStyle7"/>
        </w:rPr>
        <w:t xml:space="preserve">«Размеры интродьюсера: </w:t>
      </w:r>
      <w:r>
        <w:rPr>
          <w:rStyle w:val="CharStyle7"/>
          <w:lang w:val="en-US" w:eastAsia="en-US"/>
        </w:rPr>
        <w:t>5»;</w:t>
      </w:r>
    </w:p>
    <w:p>
      <w:pPr>
        <w:pStyle w:val="Style6"/>
        <w:keepNext w:val="0"/>
        <w:keepLines w:val="0"/>
        <w:widowControl w:val="0"/>
        <w:numPr>
          <w:ilvl w:val="0"/>
          <w:numId w:val="5"/>
        </w:numPr>
        <w:shd w:val="clear" w:color="auto" w:fill="auto"/>
        <w:tabs>
          <w:tab w:pos="1403" w:val="left"/>
        </w:tabs>
        <w:bidi w:val="0"/>
        <w:spacing w:before="0" w:after="0"/>
        <w:ind w:left="0" w:right="0" w:firstLine="700"/>
        <w:jc w:val="both"/>
      </w:pPr>
      <w:r>
        <w:rPr>
          <w:rStyle w:val="CharStyle7"/>
        </w:rPr>
        <w:t xml:space="preserve">«Размер проволочного направителя: </w:t>
      </w:r>
      <w:r>
        <w:rPr>
          <w:rStyle w:val="CharStyle7"/>
          <w:lang w:val="en-US" w:eastAsia="en-US"/>
        </w:rPr>
        <w:t xml:space="preserve">≥ 0.45 </w:t>
      </w:r>
      <w:r>
        <w:rPr>
          <w:rStyle w:val="CharStyle7"/>
        </w:rPr>
        <w:t xml:space="preserve">и </w:t>
      </w:r>
      <w:r>
        <w:rPr>
          <w:rStyle w:val="CharStyle7"/>
          <w:lang w:val="en-US" w:eastAsia="en-US"/>
        </w:rPr>
        <w:t xml:space="preserve">≤ 0.47 </w:t>
      </w:r>
      <w:r>
        <w:rPr>
          <w:rStyle w:val="CharStyle7"/>
        </w:rPr>
        <w:t>Миллиметр»;</w:t>
      </w:r>
    </w:p>
    <w:p>
      <w:pPr>
        <w:pStyle w:val="Style6"/>
        <w:keepNext w:val="0"/>
        <w:keepLines w:val="0"/>
        <w:widowControl w:val="0"/>
        <w:numPr>
          <w:ilvl w:val="0"/>
          <w:numId w:val="5"/>
        </w:numPr>
        <w:shd w:val="clear" w:color="auto" w:fill="auto"/>
        <w:tabs>
          <w:tab w:pos="1403" w:val="left"/>
        </w:tabs>
        <w:bidi w:val="0"/>
        <w:spacing w:before="0" w:after="0"/>
        <w:ind w:left="0" w:right="0" w:firstLine="700"/>
        <w:jc w:val="both"/>
      </w:pPr>
      <w:r>
        <w:rPr>
          <w:rStyle w:val="CharStyle7"/>
        </w:rPr>
        <w:t>«Материал ядра проволочного направителя: нитинол»;</w:t>
      </w:r>
    </w:p>
    <w:p>
      <w:pPr>
        <w:pStyle w:val="Style6"/>
        <w:keepNext w:val="0"/>
        <w:keepLines w:val="0"/>
        <w:widowControl w:val="0"/>
        <w:numPr>
          <w:ilvl w:val="0"/>
          <w:numId w:val="5"/>
        </w:numPr>
        <w:shd w:val="clear" w:color="auto" w:fill="auto"/>
        <w:tabs>
          <w:tab w:pos="1403" w:val="left"/>
        </w:tabs>
        <w:bidi w:val="0"/>
        <w:spacing w:before="0" w:after="0"/>
        <w:ind w:left="0" w:right="0" w:firstLine="700"/>
        <w:jc w:val="both"/>
      </w:pPr>
      <w:r>
        <w:rPr>
          <w:rStyle w:val="CharStyle7"/>
        </w:rPr>
        <w:t xml:space="preserve">«Длина проволочного направителя: </w:t>
      </w:r>
      <w:r>
        <w:rPr>
          <w:rStyle w:val="CharStyle7"/>
          <w:lang w:val="en-US" w:eastAsia="en-US"/>
        </w:rPr>
        <w:t xml:space="preserve">≥ 350 </w:t>
      </w:r>
      <w:r>
        <w:rPr>
          <w:rStyle w:val="CharStyle7"/>
        </w:rPr>
        <w:t xml:space="preserve">и </w:t>
      </w:r>
      <w:r>
        <w:rPr>
          <w:rStyle w:val="CharStyle7"/>
          <w:lang w:val="en-US" w:eastAsia="en-US"/>
        </w:rPr>
        <w:t xml:space="preserve">≤ 400 </w:t>
      </w:r>
      <w:r>
        <w:rPr>
          <w:rStyle w:val="CharStyle7"/>
        </w:rPr>
        <w:t>Миллиметр».</w:t>
      </w:r>
    </w:p>
    <w:p>
      <w:pPr>
        <w:pStyle w:val="Style6"/>
        <w:keepNext w:val="0"/>
        <w:keepLines w:val="0"/>
        <w:widowControl w:val="0"/>
        <w:shd w:val="clear" w:color="auto" w:fill="auto"/>
        <w:bidi w:val="0"/>
        <w:spacing w:before="0" w:after="0"/>
        <w:ind w:left="0" w:right="0" w:firstLine="700"/>
        <w:jc w:val="both"/>
      </w:pPr>
      <w:r>
        <w:rPr>
          <w:rStyle w:val="CharStyle7"/>
        </w:rPr>
        <w:t xml:space="preserve">На заседании Комиссии Управления представитель Заказчика пояснил, что требования к характеристикам закупаемого изделия установлены Заказчиком в соответствии с потребностью учреждения, при этом, вопреки доводам жалобы, совокупности требований извещения по товарной позиции с идентификационным номером </w:t>
      </w:r>
      <w:r>
        <w:rPr>
          <w:rStyle w:val="CharStyle7"/>
          <w:lang w:val="en-US" w:eastAsia="en-US"/>
        </w:rPr>
        <w:t xml:space="preserve">189082271 </w:t>
      </w:r>
      <w:r>
        <w:rPr>
          <w:rStyle w:val="CharStyle7"/>
        </w:rPr>
        <w:t xml:space="preserve">«Интродьюсер для ввода медицинских инструментов при сердечно-сосудистых заболеваниях, неуправляемый», помимо изделий производства компании «Мерит Медикал Системз, Инк.», также соответствует изделие «Интродьюсеры эндоваскулярные в наборах», производства компании «Кук Инкорпорэйтед» (регистрационное удостоверение №РЗН </w:t>
      </w:r>
      <w:r>
        <w:rPr>
          <w:rStyle w:val="CharStyle7"/>
          <w:lang w:val="en-US" w:eastAsia="en-US"/>
        </w:rPr>
        <w:t xml:space="preserve">2016/4519 </w:t>
      </w:r>
      <w:r>
        <w:rPr>
          <w:rStyle w:val="CharStyle7"/>
        </w:rPr>
        <w:t xml:space="preserve">от </w:t>
      </w:r>
      <w:r>
        <w:rPr>
          <w:rStyle w:val="CharStyle7"/>
          <w:lang w:val="en-US" w:eastAsia="en-US"/>
        </w:rPr>
        <w:t>07.06.2019).</w:t>
      </w:r>
    </w:p>
    <w:p>
      <w:pPr>
        <w:pStyle w:val="Style6"/>
        <w:keepNext w:val="0"/>
        <w:keepLines w:val="0"/>
        <w:widowControl w:val="0"/>
        <w:shd w:val="clear" w:color="auto" w:fill="auto"/>
        <w:bidi w:val="0"/>
        <w:spacing w:before="0" w:after="0"/>
        <w:ind w:left="0" w:right="0" w:firstLine="700"/>
        <w:jc w:val="both"/>
      </w:pPr>
      <w:r>
        <w:rPr>
          <w:rStyle w:val="CharStyle7"/>
        </w:rPr>
        <w:t xml:space="preserve">В обоснование своей позиции представитель Заказчика представил сведения из эксплуатационной документации на медицинское изделие «Интродьюсеры эндоваскулярные в наборах», производства компании «Кук Инкорпорэйтед», также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изделии </w:t>
      </w:r>
      <w:r>
        <w:rPr>
          <w:rStyle w:val="CharStyle7"/>
          <w:lang w:val="en-US" w:eastAsia="en-US"/>
        </w:rPr>
        <w:t xml:space="preserve">( </w:t>
      </w:r>
      <w:r>
        <w:rPr>
          <w:rStyle w:val="CharStyle7"/>
        </w:rPr>
        <w:t xml:space="preserve">далее </w:t>
      </w:r>
      <w:r>
        <w:rPr>
          <w:rStyle w:val="CharStyle7"/>
          <w:lang w:val="en-US" w:eastAsia="en-US"/>
        </w:rPr>
        <w:t xml:space="preserve">- </w:t>
      </w:r>
      <w:r>
        <w:rPr>
          <w:rStyle w:val="CharStyle7"/>
        </w:rPr>
        <w:t>Реестр медицинских изделий).</w:t>
      </w:r>
    </w:p>
    <w:p>
      <w:pPr>
        <w:pStyle w:val="Style6"/>
        <w:keepNext w:val="0"/>
        <w:keepLines w:val="0"/>
        <w:widowControl w:val="0"/>
        <w:shd w:val="clear" w:color="auto" w:fill="auto"/>
        <w:bidi w:val="0"/>
        <w:spacing w:before="0" w:after="0"/>
        <w:ind w:left="0" w:right="0" w:firstLine="70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представителем Заявителя, а также в составе жалобы Заявителем, не представлено документов и сведений, указывающих на несоответствие изделия изделие «Интродьюсеры эндоваскулярные в наборах», производства компании «Кук Инкорпорэйтед» требованиям извещения по оспариваемой товарной позиции,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
        </w:numPr>
        <w:shd w:val="clear" w:color="auto" w:fill="auto"/>
        <w:tabs>
          <w:tab w:pos="1421" w:val="left"/>
        </w:tabs>
        <w:bidi w:val="0"/>
        <w:spacing w:before="0" w:after="0"/>
        <w:ind w:left="0" w:right="0" w:firstLine="700"/>
        <w:jc w:val="both"/>
      </w:pPr>
      <w:r>
        <w:rPr>
          <w:rStyle w:val="CharStyle7"/>
        </w:rPr>
        <w:t>Одновременно с этим в ходе проведения внеплановой проверки Комиссией Управления установлено следующее.</w:t>
      </w:r>
    </w:p>
    <w:p>
      <w:pPr>
        <w:pStyle w:val="Style6"/>
        <w:keepNext w:val="0"/>
        <w:keepLines w:val="0"/>
        <w:widowControl w:val="0"/>
        <w:shd w:val="clear" w:color="auto" w:fill="auto"/>
        <w:bidi w:val="0"/>
        <w:spacing w:before="0" w:after="0"/>
        <w:ind w:left="0" w:right="0" w:firstLine="700"/>
        <w:jc w:val="both"/>
        <w:sectPr>
          <w:headerReference w:type="default" r:id="rId13"/>
          <w:footerReference w:type="default" r:id="rId14"/>
          <w:footnotePr>
            <w:pos w:val="pageBottom"/>
            <w:numFmt w:val="decimal"/>
            <w:numRestart w:val="continuous"/>
          </w:footnotePr>
          <w:pgSz w:w="11900" w:h="16840"/>
          <w:pgMar w:top="1138" w:right="548" w:bottom="1762" w:left="1104" w:header="0" w:footer="3" w:gutter="0"/>
          <w:cols w:space="720"/>
          <w:noEndnote/>
          <w:rtlGutter w:val="0"/>
          <w:docGrid w:linePitch="360"/>
        </w:sectPr>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w:t>
      </w:r>
    </w:p>
    <w:p>
      <w:pPr>
        <w:pStyle w:val="Style6"/>
        <w:keepNext w:val="0"/>
        <w:keepLines w:val="0"/>
        <w:widowControl w:val="0"/>
        <w:shd w:val="clear" w:color="auto" w:fill="auto"/>
        <w:bidi w:val="0"/>
        <w:spacing w:before="0" w:after="0" w:line="254" w:lineRule="auto"/>
        <w:ind w:left="0" w:right="0" w:firstLine="0"/>
        <w:jc w:val="both"/>
      </w:pPr>
      <w:r>
        <w:rPr>
          <w:rStyle w:val="CharStyle7"/>
        </w:rPr>
        <w:t>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 145 </w:t>
      </w:r>
      <w:r>
        <w:rPr>
          <w:rStyle w:val="CharStyle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7"/>
        </w:numPr>
        <w:shd w:val="clear" w:color="auto" w:fill="auto"/>
        <w:tabs>
          <w:tab w:pos="1434" w:val="left"/>
        </w:tabs>
        <w:bidi w:val="0"/>
        <w:spacing w:before="0" w:after="0" w:line="254"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7"/>
        </w:numPr>
        <w:shd w:val="clear" w:color="auto" w:fill="auto"/>
        <w:tabs>
          <w:tab w:pos="1416" w:val="left"/>
        </w:tabs>
        <w:bidi w:val="0"/>
        <w:spacing w:before="0" w:after="0" w:line="254"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7"/>
        </w:numPr>
        <w:shd w:val="clear" w:color="auto" w:fill="auto"/>
        <w:tabs>
          <w:tab w:pos="1416" w:val="left"/>
        </w:tabs>
        <w:bidi w:val="0"/>
        <w:spacing w:before="0" w:after="0" w:line="254"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7"/>
        </w:numPr>
        <w:shd w:val="clear" w:color="auto" w:fill="auto"/>
        <w:tabs>
          <w:tab w:pos="1434" w:val="left"/>
        </w:tabs>
        <w:bidi w:val="0"/>
        <w:spacing w:before="0" w:after="40" w:line="254" w:lineRule="auto"/>
        <w:ind w:left="0" w:right="0" w:firstLine="700"/>
        <w:jc w:val="both"/>
      </w:pPr>
      <w:r>
        <w:rPr>
          <w:rStyle w:val="CharStyle7"/>
        </w:rPr>
        <w:t>контракте;</w:t>
      </w:r>
    </w:p>
    <w:p>
      <w:pPr>
        <w:pStyle w:val="Style6"/>
        <w:keepNext w:val="0"/>
        <w:keepLines w:val="0"/>
        <w:widowControl w:val="0"/>
        <w:numPr>
          <w:ilvl w:val="0"/>
          <w:numId w:val="7"/>
        </w:numPr>
        <w:shd w:val="clear" w:color="auto" w:fill="auto"/>
        <w:tabs>
          <w:tab w:pos="1434" w:val="left"/>
        </w:tabs>
        <w:bidi w:val="0"/>
        <w:spacing w:before="0" w:after="0" w:line="254"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57"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45" w:bottom="1162" w:left="1101" w:header="0" w:footer="734" w:gutter="0"/>
          <w:cols w:space="720"/>
          <w:noEndnote/>
          <w:rtlGutter w:val="0"/>
          <w:docGrid w:linePitch="360"/>
        </w:sectPr>
      </w:pPr>
      <w:r>
        <w:rPr>
          <w:rStyle w:val="CharStyle7"/>
        </w:rPr>
        <w:t xml:space="preserve">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w:t>
      </w:r>
      <w:r>
        <w:rPr>
          <w:rStyle w:val="CharStyle7"/>
          <w:sz w:val="24"/>
          <w:szCs w:val="24"/>
          <w:lang w:val="en-US" w:eastAsia="en-US"/>
        </w:rPr>
        <w:t>2025-39965</w:t>
      </w:r>
    </w:p>
    <w:p>
      <w:pPr>
        <w:pStyle w:val="Style6"/>
        <w:keepNext w:val="0"/>
        <w:keepLines w:val="0"/>
        <w:widowControl w:val="0"/>
        <w:shd w:val="clear" w:color="auto" w:fill="auto"/>
        <w:bidi w:val="0"/>
        <w:spacing w:before="0" w:after="0"/>
        <w:ind w:left="0" w:right="0" w:firstLine="0"/>
        <w:jc w:val="both"/>
      </w:pPr>
      <w:r>
        <w:rPr>
          <w:rStyle w:val="CharStyle7"/>
        </w:rPr>
        <w:t>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ind w:left="0" w:right="0" w:firstLine="700"/>
        <w:jc w:val="both"/>
      </w:pPr>
      <w:r>
        <w:rPr>
          <w:rStyle w:val="CharStyle7"/>
        </w:rPr>
        <w:t>Исходя из вышеизложенного, во исполнение требований п.5 ч.1 ст.42 Закона о контрактной системе и Правил использования КТРУ, заказчикам надлежит отражать в извещении характеристики закупаемых товаров и услуг в разделе «Характеристики товара, работы, услуги» с указанием в соответствующих графах наименования характеристик, значение характеристик, единицы измерения характеристик, инструкции по заполнению характеристик в заявке.</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как установлено Комиссией Управления, в структурированной форме извещения Заказчиком не указаны единицы измерения части требуемых характеристик, указанные в описании объекта закупки, размещенном в электронном документе «Технические характеристики-1», так, </w:t>
      </w:r>
      <w:r>
        <w:rPr>
          <w:rStyle w:val="CharStyle7"/>
          <w:b/>
          <w:bCs/>
          <w:i/>
          <w:iCs/>
        </w:rPr>
        <w:t>например</w:t>
      </w:r>
      <w:r>
        <w:rPr>
          <w:rStyle w:val="CharStyle7"/>
        </w:rPr>
        <w:t xml:space="preserve">, по п.74 «Интродьюсер для ввода медицинских инструментов при сердечно-сосудистых заболеваниях, неуправляемый» указано такое требование к характеристике как: «Размеры интродьюсера: </w:t>
      </w:r>
      <w:r>
        <w:rPr>
          <w:rStyle w:val="CharStyle7"/>
          <w:lang w:val="en-US" w:eastAsia="en-US"/>
        </w:rPr>
        <w:t xml:space="preserve">French: 5», </w:t>
      </w:r>
      <w:r>
        <w:rPr>
          <w:rStyle w:val="CharStyle7"/>
        </w:rPr>
        <w:t xml:space="preserve">при этом сведения о единице измерения </w:t>
      </w:r>
      <w:r>
        <w:rPr>
          <w:rStyle w:val="CharStyle7"/>
          <w:lang w:val="en-US" w:eastAsia="en-US"/>
        </w:rPr>
        <w:t xml:space="preserve">«French» </w:t>
      </w:r>
      <w:r>
        <w:rPr>
          <w:rStyle w:val="CharStyle7"/>
        </w:rPr>
        <w:t>не указаны в структурированной форме извещения.</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о нарушении Заказчиком положений ч.6 ст.23, п.5 ч.1 ст.42 Закона о контрактной системе,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sectPr>
          <w:headerReference w:type="default" r:id="rId17"/>
          <w:footerReference w:type="default" r:id="rId18"/>
          <w:footnotePr>
            <w:pos w:val="pageBottom"/>
            <w:numFmt w:val="decimal"/>
            <w:numRestart w:val="continuous"/>
          </w:footnotePr>
          <w:pgSz w:w="11900" w:h="16840"/>
          <w:pgMar w:top="1162" w:right="546" w:bottom="1623" w:left="1106"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Р Е Ш И Л А:</w:t>
      </w:r>
    </w:p>
    <w:p>
      <w:pPr>
        <w:pStyle w:val="Style6"/>
        <w:keepNext w:val="0"/>
        <w:keepLines w:val="0"/>
        <w:widowControl w:val="0"/>
        <w:numPr>
          <w:ilvl w:val="0"/>
          <w:numId w:val="9"/>
        </w:numPr>
        <w:shd w:val="clear" w:color="auto" w:fill="auto"/>
        <w:tabs>
          <w:tab w:pos="1416" w:val="left"/>
        </w:tabs>
        <w:bidi w:val="0"/>
        <w:spacing w:before="0" w:after="0" w:line="259" w:lineRule="auto"/>
        <w:ind w:left="0" w:right="0" w:firstLine="720"/>
        <w:jc w:val="both"/>
      </w:pPr>
      <w:r>
        <w:rPr>
          <w:rStyle w:val="CharStyle7"/>
        </w:rPr>
        <w:t>Признать жалобу ИП Белина Т.В. на действия ФГБУ «НМИЦК им. ак. Е.И. Чазова» Минздрава России обоснованной в части формирования описания объекта закупки в нарушение положений Закона о контрактной системе.</w:t>
      </w:r>
    </w:p>
    <w:p>
      <w:pPr>
        <w:pStyle w:val="Style6"/>
        <w:keepNext w:val="0"/>
        <w:keepLines w:val="0"/>
        <w:widowControl w:val="0"/>
        <w:numPr>
          <w:ilvl w:val="0"/>
          <w:numId w:val="9"/>
        </w:numPr>
        <w:shd w:val="clear" w:color="auto" w:fill="auto"/>
        <w:tabs>
          <w:tab w:pos="1416" w:val="left"/>
        </w:tabs>
        <w:bidi w:val="0"/>
        <w:spacing w:before="0" w:after="0" w:line="259" w:lineRule="auto"/>
        <w:ind w:left="0" w:right="0" w:firstLine="720"/>
        <w:jc w:val="both"/>
      </w:pPr>
      <w:r>
        <w:rPr>
          <w:rStyle w:val="CharStyle7"/>
        </w:rPr>
        <w:t>Признать в действиях Заказчика нарушение положений п.1 ч.1 ст.33, ч.6 ст.23, п.5 ч.1 ст.42 Закона о контрактной системе.</w:t>
      </w:r>
    </w:p>
    <w:p>
      <w:pPr>
        <w:pStyle w:val="Style6"/>
        <w:keepNext w:val="0"/>
        <w:keepLines w:val="0"/>
        <w:widowControl w:val="0"/>
        <w:numPr>
          <w:ilvl w:val="0"/>
          <w:numId w:val="9"/>
        </w:numPr>
        <w:shd w:val="clear" w:color="auto" w:fill="auto"/>
        <w:tabs>
          <w:tab w:pos="1416" w:val="left"/>
        </w:tabs>
        <w:bidi w:val="0"/>
        <w:spacing w:before="0" w:after="0" w:line="259" w:lineRule="auto"/>
        <w:ind w:left="0" w:right="0" w:firstLine="72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9"/>
        </w:numPr>
        <w:shd w:val="clear" w:color="auto" w:fill="auto"/>
        <w:tabs>
          <w:tab w:pos="1416" w:val="left"/>
        </w:tabs>
        <w:bidi w:val="0"/>
        <w:spacing w:before="0" w:after="300" w:line="259"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62"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2468" w:left="1106" w:header="0" w:footer="3" w:gutter="0"/>
          <w:cols w:space="720"/>
          <w:noEndnote/>
          <w:rtlGutter w:val="0"/>
          <w:docGrid w:linePitch="360"/>
        </w:sectPr>
      </w:pPr>
      <w:r>
        <mc:AlternateContent>
          <mc:Choice Requires="wps">
            <w:drawing>
              <wp:anchor distT="139700" distB="341630" distL="0" distR="0" simplePos="0" relativeHeight="125829382" behindDoc="0" locked="0" layoutInCell="1" allowOverlap="1">
                <wp:simplePos x="0" y="0"/>
                <wp:positionH relativeFrom="page">
                  <wp:posOffset>739140</wp:posOffset>
                </wp:positionH>
                <wp:positionV relativeFrom="paragraph">
                  <wp:posOffset>139700</wp:posOffset>
                </wp:positionV>
                <wp:extent cx="1896110" cy="252730"/>
                <wp:wrapTopAndBottom/>
                <wp:docPr id="21" name="Shape 21"/>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8.200000000000003pt;margin-top:11.pt;width:149.30000000000001pt;height:19.900000000000002pt;z-index:-125829371;mso-wrap-distance-left:0;mso-wrap-distance-top:11.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12725" distB="0" distL="0" distR="1786255" simplePos="0" relativeHeight="125829384" behindDoc="0" locked="0" layoutInCell="1" allowOverlap="1">
            <wp:simplePos x="0" y="0"/>
            <wp:positionH relativeFrom="page">
              <wp:posOffset>3107690</wp:posOffset>
            </wp:positionH>
            <wp:positionV relativeFrom="paragraph">
              <wp:posOffset>212725</wp:posOffset>
            </wp:positionV>
            <wp:extent cx="359410" cy="52451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617855</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0.94999999999999pt;margin-top:48.649999999999999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3525520</wp:posOffset>
                </wp:positionH>
                <wp:positionV relativeFrom="paragraph">
                  <wp:posOffset>300990</wp:posOffset>
                </wp:positionV>
                <wp:extent cx="1725295" cy="259080"/>
                <wp:wrapNone/>
                <wp:docPr id="27" name="Shape 2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60000000000002pt;margin-top:23.699999999999999pt;width:135.84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41630" distL="0" distR="0" simplePos="0" relativeHeight="125829385" behindDoc="0" locked="0" layoutInCell="1" allowOverlap="1">
                <wp:simplePos x="0" y="0"/>
                <wp:positionH relativeFrom="page">
                  <wp:posOffset>5908675</wp:posOffset>
                </wp:positionH>
                <wp:positionV relativeFrom="paragraph">
                  <wp:posOffset>139700</wp:posOffset>
                </wp:positionV>
                <wp:extent cx="1307465" cy="252730"/>
                <wp:wrapTopAndBottom/>
                <wp:docPr id="29" name="Shape 29"/>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5" type="#_x0000_t202" style="position:absolute;margin-left:465.25pt;margin-top:11.pt;width:102.95pt;height:19.900000000000002pt;z-index:-125829368;mso-wrap-distance-left:0;mso-wrap-distance-top:11.pt;mso-wrap-distance-right:0;mso-wrap-distance-bottom:26.900000000000002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560" w:line="240" w:lineRule="auto"/>
        <w:ind w:right="0" w:firstLine="0"/>
        <w:jc w:val="left"/>
      </w:pPr>
      <w:r>
        <w:rPr>
          <w:rStyle w:val="CharStyle19"/>
        </w:rPr>
        <w:t xml:space="preserve">Действителен с 19.05.2025 </w:t>
      </w:r>
      <w:r>
        <w:rPr>
          <w:rStyle w:val="CharStyle19"/>
          <w:color w:val="5D5D5D"/>
        </w:rPr>
        <w:t xml:space="preserve">по </w:t>
      </w:r>
      <w:r>
        <w:rPr>
          <w:rStyle w:val="CharStyle19"/>
        </w:rPr>
        <w:t>12.08.2026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51816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466090</wp:posOffset>
                </wp:positionV>
                <wp:extent cx="1283335" cy="100330"/>
                <wp:wrapNone/>
                <wp:docPr id="33" name="Shape 3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0.90000000000003pt;margin-top:36.700000000000003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148590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75pt;margin-top:11.70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560" w:line="266" w:lineRule="auto"/>
        <w:ind w:right="0" w:firstLine="0"/>
        <w:jc w:val="left"/>
      </w:pPr>
      <w:r>
        <w:rPr>
          <w:rStyle w:val="CharStyle19"/>
        </w:rPr>
        <w:t xml:space="preserve">Действителен с 22.07.2025 </w:t>
      </w:r>
      <w:r>
        <w:rPr>
          <w:rStyle w:val="CharStyle19"/>
          <w:color w:val="5D5D5D"/>
        </w:rPr>
        <w:t xml:space="preserve">по </w:t>
      </w:r>
      <w:r>
        <w:rPr>
          <w:rStyle w:val="CharStyle19"/>
        </w:rPr>
        <w:t>15.10.2026</w:t>
      </w:r>
    </w:p>
    <w:p>
      <w:pPr>
        <w:pStyle w:val="Style6"/>
        <w:keepNext w:val="0"/>
        <w:keepLines w:val="0"/>
        <w:widowControl w:val="0"/>
        <w:shd w:val="clear" w:color="auto" w:fill="auto"/>
        <w:bidi w:val="0"/>
        <w:spacing w:before="0" w:after="370" w:line="240" w:lineRule="auto"/>
        <w:ind w:left="0" w:right="0" w:firstLine="820"/>
        <w:jc w:val="lef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39624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151765</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75pt;margin-top:11.95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Е.Д. Мартьянова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4"/>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Мартьянова Елена Дмитриевна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009EC19D0AD083DC593EE489E44F6A415</w:t>
      </w:r>
      <w:r>
        <w:rPr>
          <w:rStyle w:val="CharStyle19"/>
          <w:lang w:val="en-US" w:eastAsia="en-US"/>
        </w:rPr>
        <w:t>7</w:t>
      </w:r>
    </w:p>
    <w:p>
      <w:pPr>
        <w:pStyle w:val="Style18"/>
        <w:keepNext w:val="0"/>
        <w:keepLines w:val="0"/>
        <w:widowControl w:val="0"/>
        <w:shd w:val="clear" w:color="auto" w:fill="auto"/>
        <w:bidi w:val="0"/>
        <w:spacing w:before="0" w:after="1080" w:line="240" w:lineRule="auto"/>
        <w:ind w:right="0" w:firstLine="0"/>
        <w:jc w:val="left"/>
      </w:pPr>
      <w:r>
        <w:rPr>
          <w:rStyle w:val="CharStyle19"/>
        </w:rPr>
        <w:t xml:space="preserve">Действителен с 21.01.2025 </w:t>
      </w:r>
      <w:r>
        <w:rPr>
          <w:rStyle w:val="CharStyle19"/>
          <w:color w:val="5D5D5D"/>
        </w:rPr>
        <w:t xml:space="preserve">по </w:t>
      </w:r>
      <w:r>
        <w:rPr>
          <w:rStyle w:val="CharStyle19"/>
        </w:rPr>
        <w:t>16.04.2026</w:t>
      </w:r>
    </w:p>
    <w:p>
      <w:pPr>
        <w:pStyle w:val="Style25"/>
        <w:keepNext w:val="0"/>
        <w:keepLines w:val="0"/>
        <w:widowControl w:val="0"/>
        <w:shd w:val="clear" w:color="auto" w:fill="auto"/>
        <w:bidi w:val="0"/>
        <w:spacing w:before="0" w:line="240" w:lineRule="auto"/>
        <w:ind w:left="0" w:right="0" w:firstLine="0"/>
        <w:jc w:val="left"/>
      </w:pPr>
      <w:r>
        <w:rPr>
          <w:rStyle w:val="CharStyle26"/>
        </w:rPr>
        <w:t>Исп. Матюшенко А.А., 8(495) 784-75-05</w:t>
      </w:r>
    </w:p>
    <w:sectPr>
      <w:footnotePr>
        <w:pos w:val="pageBottom"/>
        <w:numFmt w:val="decimal"/>
        <w:numRestart w:val="continuous"/>
      </w:footnotePr>
      <w:type w:val="continuous"/>
      <w:pgSz w:w="11900" w:h="16840"/>
      <w:pgMar w:top="1158" w:right="532" w:bottom="162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10214610</wp:posOffset>
              </wp:positionV>
              <wp:extent cx="734695" cy="128270"/>
              <wp:wrapNone/>
              <wp:docPr id="9" name="Shape 9"/>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2025-39965</w:t>
                          </w:r>
                        </w:p>
                      </w:txbxContent>
                    </wps:txbx>
                    <wps:bodyPr wrap="none" lIns="0" tIns="0" rIns="0" bIns="0">
                      <a:spAutoFit/>
                    </wps:bodyPr>
                  </wps:wsp>
                </a:graphicData>
              </a:graphic>
            </wp:anchor>
          </w:drawing>
        </mc:Choice>
        <mc:Fallback>
          <w:pict>
            <v:shape id="_x0000_s1035" type="#_x0000_t202" style="position:absolute;margin-left:56.850000000000001pt;margin-top:804.30000000000007pt;width:57.850000000000001pt;height:10.1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2025-39965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9662795</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2025-39965</w:t>
                          </w:r>
                        </w:p>
                      </w:txbxContent>
                    </wps:txbx>
                    <wps:bodyPr wrap="none" lIns="0" tIns="0" rIns="0" bIns="0">
                      <a:spAutoFit/>
                    </wps:bodyPr>
                  </wps:wsp>
                </a:graphicData>
              </a:graphic>
            </wp:anchor>
          </w:drawing>
        </mc:Choice>
        <mc:Fallback>
          <w:pict>
            <v:shape id="_x0000_s1039" type="#_x0000_t202" style="position:absolute;margin-left:57.200000000000003pt;margin-top:760.85000000000002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2025-39965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9662795</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2025-39965</w:t>
                          </w:r>
                        </w:p>
                      </w:txbxContent>
                    </wps:txbx>
                    <wps:bodyPr wrap="none" lIns="0" tIns="0" rIns="0" bIns="0">
                      <a:spAutoFit/>
                    </wps:bodyPr>
                  </wps:wsp>
                </a:graphicData>
              </a:graphic>
            </wp:anchor>
          </w:drawing>
        </mc:Choice>
        <mc:Fallback>
          <w:pict>
            <v:shape id="_x0000_s1045" type="#_x0000_t202" style="position:absolute;margin-left:57.200000000000003pt;margin-top:760.85000000000002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2025-39965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3928745</wp:posOffset>
              </wp:positionH>
              <wp:positionV relativeFrom="page">
                <wp:posOffset>473075</wp:posOffset>
              </wp:positionV>
              <wp:extent cx="33655" cy="106680"/>
              <wp:wrapNone/>
              <wp:docPr id="7" name="Shape 7"/>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35000000000002pt;margin-top:37.25pt;width:2.6499999999999999pt;height:8.4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473075</wp:posOffset>
              </wp:positionV>
              <wp:extent cx="67310" cy="106680"/>
              <wp:wrapNone/>
              <wp:docPr id="11" name="Shape 11"/>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9.19999999999999pt;margin-top:37.25pt;width:5.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3928745</wp:posOffset>
              </wp:positionH>
              <wp:positionV relativeFrom="page">
                <wp:posOffset>473075</wp:posOffset>
              </wp:positionV>
              <wp:extent cx="33655" cy="106680"/>
              <wp:wrapNone/>
              <wp:docPr id="15" name="Shape 15"/>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35000000000002pt;margin-top:37.25pt;width:2.6499999999999999pt;height:8.40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3926840</wp:posOffset>
              </wp:positionH>
              <wp:positionV relativeFrom="page">
                <wp:posOffset>473075</wp:posOffset>
              </wp:positionV>
              <wp:extent cx="67310" cy="106680"/>
              <wp:wrapNone/>
              <wp:docPr id="17" name="Shape 17"/>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9.19999999999999pt;margin-top:37.25pt;width:5.2999999999999998pt;height:8.40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3">
    <w:name w:val="Body text (5)"/>
    <w:basedOn w:val="Normal"/>
    <w:link w:val="CharStyle24"/>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4)"/>
    <w:basedOn w:val="Normal"/>
    <w:link w:val="CharStyle2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