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Тверской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"mailto:to69@fas.gov.ru" </w:instrText>
      </w:r>
      <w:r>
        <w:fldChar w:fldCharType="separate"/>
      </w:r>
      <w:r>
        <w:rPr>
          <w:rStyle w:val="CharStyle6"/>
          <w:lang w:val="en-US" w:eastAsia="en-US"/>
        </w:rPr>
        <w:t>to69@fas.gov.ru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04,09.2025</w:t>
      </w:r>
      <w:r>
        <w:fldChar w:fldCharType="end"/>
      </w:r>
      <w:r>
        <w:rPr>
          <w:rStyle w:val="CharStyle11"/>
        </w:rPr>
        <w:tab/>
        <w:t>№ 5853/25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Предписание 069/06/105-840/2025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Министерство здравоохранения Тверской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"mailto:dep_zdrav@tverreg.ru" </w:instrText>
      </w:r>
      <w:r>
        <w:fldChar w:fldCharType="separate"/>
      </w:r>
      <w:r>
        <w:rPr>
          <w:rStyle w:val="CharStyle14"/>
          <w:lang w:val="en-US" w:eastAsia="en-US"/>
        </w:rPr>
        <w:t>dep_zdrav@tverreg.ru</w:t>
      </w:r>
      <w:r>
        <w:fldChar w:fldCharType="end"/>
      </w:r>
      <w:r>
        <w:rPr>
          <w:rStyle w:val="CharStyle14"/>
          <w:lang w:val="en-US" w:eastAsia="en-US"/>
        </w:rPr>
        <w:t>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"mailto:mztopg@yandex.ru" </w:instrText>
      </w:r>
      <w:r>
        <w:fldChar w:fldCharType="separate"/>
      </w:r>
      <w:r>
        <w:rPr>
          <w:rStyle w:val="CharStyle14"/>
          <w:lang w:val="en-US" w:eastAsia="en-US"/>
        </w:rPr>
        <w:t>mztopg@yandex.ru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Уполномоченный орган: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Комитет государственного заказа Тверской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"mailto:kom_goszakaza@tverreg.ru" </w:instrText>
      </w:r>
      <w:r>
        <w:fldChar w:fldCharType="separate"/>
      </w:r>
      <w:r>
        <w:rPr>
          <w:rStyle w:val="CharStyle14"/>
          <w:lang w:val="en-US" w:eastAsia="en-US"/>
        </w:rPr>
        <w:t>kom_goszakaza@tverreg.ru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АО «Техноимпорт»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"mailto:ao-tehno@yandex.ru" </w:instrText>
      </w:r>
      <w:r>
        <w:fldChar w:fldCharType="separate"/>
      </w:r>
      <w:r>
        <w:rPr>
          <w:rStyle w:val="CharStyle14"/>
          <w:lang w:val="en-US" w:eastAsia="en-US"/>
        </w:rPr>
        <w:t>ao-tehno@yandex.ru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Оператор электронной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АО «Сбербанк – 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  <w:r>
        <w:rPr>
          <w:rStyle w:val="CharStyle14"/>
          <w:lang w:val="en-US" w:eastAsia="en-US"/>
        </w:rPr>
        <w:t>, info@sberbank-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059" w:bottom="1313" w:left="1130" w:header="0" w:footer="3" w:gutter="0"/>
          <w:pgNumType w:start="1"/>
          <w:cols w:num="2" w:space="830"/>
          <w:noEndnote/>
          <w:titlePg/>
          <w:rtlGutter w:val="0"/>
          <w:docGrid w:linePitch="360"/>
        </w:sectPr>
      </w:pPr>
      <w:r>
        <w:rPr>
          <w:rStyle w:val="CharStyle14"/>
          <w:lang w:val="en-US" w:eastAsia="en-US"/>
        </w:rPr>
        <w:t>ast.ru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8" w:right="0" w:bottom="134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П Р Е Д П И С А Н И Е</w:t>
        <w:br/>
        <w:t>по делу № 069/06/99-840/2025 о рассмотрении жалобы на нарушение законодательства о</w:t>
        <w:br/>
        <w:t>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Резолютивная часть решения оглашена «01» сентября 2025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В полном объеме решение изготовлено «04» сентября 2025 г. г. Тверь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Винницкая П.Д. – заместитель начальника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4"/>
        </w:rPr>
        <w:t>Федотова М.В. – специалист-эксперт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4"/>
        </w:rPr>
        <w:t>Обелкина В.В. - специалист 1 разряда отдела контроля закупок, при участии посредством видеоконференц-связи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Министерства здравоохранения Тверской области (далее- Заказчик): Никитиной А.К.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Комитета государственного заказа Тверской области (далее – Уполномоченный орган): Смирновой В.О.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представители АО «Техноимпорт» (далее — Заявитель) на заседание комиссии не явились, о дате и времени рассмотрения уведомлены надлежащим образом,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>на основании решения от 01.09.2025 по делу № 069/06/105-840/2025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line="1" w:lineRule="exact"/>
      </w:pPr>
      <w:r>
        <w:drawing>
          <wp:anchor distT="3175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317500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4"/>
          <w:lang w:val="en-US" w:eastAsia="en-US"/>
        </w:rPr>
        <w:t>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560" w:right="0" w:firstLine="0"/>
        <w:jc w:val="both"/>
      </w:pPr>
      <w:r>
        <w:rPr>
          <w:rStyle w:val="CharStyle14"/>
        </w:rPr>
        <w:t>ПРЕДПИСЫВАЕТ:</w:t>
      </w:r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20"/>
        </w:rPr>
        <w:t xml:space="preserve">Оператору электронной площадки направить Заказчику, Уполномоченному органу декларации о принадлежности участников закупки к организациям инвалидов, предусмотренные частью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29 </w:t>
      </w:r>
      <w:r>
        <w:rPr>
          <w:rStyle w:val="CharStyle20"/>
        </w:rPr>
        <w:t xml:space="preserve">настоящего Закона о контрактной системе (если участники закупки является такой организацией), в случае невозможности направления указанной информации посредством электронной площадки, направить указанную информацию на адреса электронной почты </w:t>
      </w:r>
      <w:r>
        <w:fldChar w:fldCharType="begin"/>
      </w:r>
      <w:r>
        <w:rPr/>
        <w:instrText> HYPERLINK "mailto:dep_zdrav@tverreg.ru" </w:instrText>
      </w:r>
      <w:r>
        <w:fldChar w:fldCharType="separate"/>
      </w:r>
      <w:r>
        <w:rPr>
          <w:rStyle w:val="CharStyle20"/>
          <w:color w:val="000080"/>
          <w:u w:val="single"/>
          <w:lang w:val="en-US" w:eastAsia="en-US"/>
        </w:rPr>
        <w:t>dep_zdrav@tverreg.ru</w:t>
      </w:r>
      <w:r>
        <w:fldChar w:fldCharType="end"/>
      </w:r>
      <w:r>
        <w:rPr>
          <w:rStyle w:val="CharStyle20"/>
          <w:lang w:val="en-US" w:eastAsia="en-US"/>
        </w:rPr>
        <w:t xml:space="preserve">, </w:t>
      </w:r>
      <w:r>
        <w:fldChar w:fldCharType="begin"/>
      </w:r>
      <w:r>
        <w:rPr/>
        <w:instrText> HYPERLINK "mailto:kom_goszakaza@tverreg.ru" </w:instrText>
      </w:r>
      <w:r>
        <w:fldChar w:fldCharType="separate"/>
      </w:r>
      <w:r>
        <w:rPr>
          <w:rStyle w:val="CharStyle20"/>
          <w:lang w:val="en-US" w:eastAsia="en-US"/>
        </w:rPr>
        <w:t>kom_goszakaza@tverreg.ru</w:t>
      </w:r>
      <w:r>
        <w:fldChar w:fldCharType="end"/>
      </w:r>
      <w:r>
        <w:rPr>
          <w:rStyle w:val="CharStyle20"/>
          <w:lang w:val="en-US" w:eastAsia="en-US"/>
        </w:rPr>
        <w:t>.</w:t>
      </w:r>
      <w:bookmarkEnd w:id="0"/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146" w:val="left"/>
        </w:tabs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20"/>
        </w:rPr>
        <w:t>Заказчику, Уполномоченному органу, комиссии по осуществлению закупок:</w:t>
      </w:r>
      <w:bookmarkEnd w:id="2"/>
    </w:p>
    <w:p>
      <w:pPr>
        <w:pStyle w:val="Style19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20"/>
        </w:rPr>
        <w:t>отменить протокол подведения итогов определения поставщика (подрядчика, исполнителя);</w:t>
      </w:r>
      <w:bookmarkEnd w:id="4"/>
    </w:p>
    <w:p>
      <w:pPr>
        <w:pStyle w:val="Style19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rStyle w:val="CharStyle20"/>
        </w:rPr>
        <w:t xml:space="preserve">повторно рассмотреть заявки участников в соответствии с требованиями закона и с учетом решения Тверского УФАС от </w:t>
      </w:r>
      <w:r>
        <w:rPr>
          <w:rStyle w:val="CharStyle20"/>
          <w:lang w:val="en-US" w:eastAsia="en-US"/>
        </w:rPr>
        <w:t xml:space="preserve">01.09.2025 </w:t>
      </w:r>
      <w:r>
        <w:rPr>
          <w:rStyle w:val="CharStyle20"/>
        </w:rPr>
        <w:t xml:space="preserve">по делу </w:t>
      </w:r>
      <w:r>
        <w:rPr>
          <w:rStyle w:val="CharStyle20"/>
          <w:lang w:val="en-US" w:eastAsia="en-US"/>
        </w:rPr>
        <w:t xml:space="preserve">№ 069/06/105-840/2025, </w:t>
      </w:r>
      <w:r>
        <w:rPr>
          <w:rStyle w:val="CharStyle20"/>
        </w:rPr>
        <w:t xml:space="preserve">а также учитывая преимущество установленное статьей </w:t>
      </w:r>
      <w:r>
        <w:rPr>
          <w:rStyle w:val="CharStyle20"/>
          <w:lang w:val="en-US" w:eastAsia="en-US"/>
        </w:rPr>
        <w:t xml:space="preserve">29 </w:t>
      </w:r>
      <w:r>
        <w:rPr>
          <w:rStyle w:val="CharStyle20"/>
        </w:rPr>
        <w:t>Закона о контрактной системе.</w:t>
      </w:r>
      <w:bookmarkEnd w:id="6"/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rStyle w:val="CharStyle20"/>
        </w:rPr>
        <w:t xml:space="preserve">Оператору электронной площадки обеспечить возможность исполнения пункта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>предписания.</w:t>
      </w:r>
      <w:bookmarkEnd w:id="8"/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rStyle w:val="CharStyle20"/>
        </w:rPr>
        <w:t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Федерации.</w:t>
      </w:r>
      <w:bookmarkEnd w:id="10"/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240" w:line="240" w:lineRule="auto"/>
        <w:ind w:left="0" w:right="0"/>
        <w:jc w:val="both"/>
      </w:pPr>
      <w:bookmarkStart w:id="12" w:name="bookmark12"/>
      <w:r>
        <w:rPr>
          <w:rStyle w:val="CharStyle20"/>
        </w:rPr>
        <w:t xml:space="preserve">Заказчику, Уполномоченному органу в срок до </w:t>
      </w:r>
      <w:r>
        <w:rPr>
          <w:rStyle w:val="CharStyle20"/>
          <w:lang w:val="en-US" w:eastAsia="en-US"/>
        </w:rPr>
        <w:t xml:space="preserve">05.10.2025 </w:t>
      </w:r>
      <w:r>
        <w:rPr>
          <w:rStyle w:val="CharStyle20"/>
        </w:rPr>
        <w:t xml:space="preserve">представить в Тверское УФАС России подтверждение исполнения настоящего предписания по электронной почте по адресу: </w:t>
      </w:r>
      <w:r>
        <w:fldChar w:fldCharType="begin"/>
      </w:r>
      <w:r>
        <w:rPr/>
        <w:instrText> HYPERLINK "mailto:to69@fas.gov.ru" </w:instrText>
      </w:r>
      <w:r>
        <w:fldChar w:fldCharType="separate"/>
      </w:r>
      <w:r>
        <w:rPr>
          <w:rStyle w:val="CharStyle20"/>
          <w:lang w:val="en-US" w:eastAsia="en-US"/>
        </w:rPr>
        <w:t>to69@fas.gov.ru</w:t>
      </w:r>
      <w:r>
        <w:fldChar w:fldCharType="end"/>
      </w:r>
      <w:r>
        <w:rPr>
          <w:rStyle w:val="CharStyle20"/>
          <w:lang w:val="en-US" w:eastAsia="en-US"/>
        </w:rPr>
        <w:t>.</w:t>
      </w:r>
      <w:bookmarkEnd w:id="12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4" w:name="bookmark14"/>
      <w:r>
        <w:rPr>
          <w:rStyle w:val="CharStyle20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защиту прав и законных интересов участников закупки.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6" w:name="bookmark16"/>
      <w:r>
        <w:rPr>
          <w:rStyle w:val="CharStyle20"/>
        </w:rPr>
        <w:t xml:space="preserve">Настоящее предписание в течение трех месяцев со дня его изготовления может быть обжаловано в Арбитражный суд Тверской области, находящийся по адресу: </w:t>
      </w:r>
      <w:r>
        <w:rPr>
          <w:rStyle w:val="CharStyle20"/>
          <w:lang w:val="en-US" w:eastAsia="en-US"/>
        </w:rPr>
        <w:t xml:space="preserve">170100 </w:t>
      </w:r>
      <w:r>
        <w:rPr>
          <w:rStyle w:val="CharStyle20"/>
        </w:rPr>
        <w:t xml:space="preserve">г. Тверь, пл Святого Благоверного Князя Михаила Тверского, д. </w:t>
      </w:r>
      <w:r>
        <w:rPr>
          <w:rStyle w:val="CharStyle20"/>
          <w:lang w:val="en-US" w:eastAsia="en-US"/>
        </w:rPr>
        <w:t>5</w:t>
      </w:r>
      <w:bookmarkEnd w:id="16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8" w:right="540" w:bottom="134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3030" distB="216535" distL="0" distR="0" simplePos="0" relativeHeight="125829379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113030</wp:posOffset>
                </wp:positionV>
                <wp:extent cx="1569720" cy="21018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5pt;margin-top:8.9000000000000004pt;width:123.60000000000001pt;height:16.550000000000001pt;z-index:-125829374;mso-wrap-distance-left:0;mso-wrap-distance-top:8.9000000000000004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9525" distL="0" distR="1786255" simplePos="0" relativeHeight="125829381" behindDoc="0" locked="0" layoutInCell="1" allowOverlap="1">
            <wp:simplePos x="0" y="0"/>
            <wp:positionH relativeFrom="page">
              <wp:posOffset>2693670</wp:posOffset>
            </wp:positionH>
            <wp:positionV relativeFrom="paragraph">
              <wp:posOffset>0</wp:posOffset>
            </wp:positionV>
            <wp:extent cx="365760" cy="53022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3162935</wp:posOffset>
                </wp:positionH>
                <wp:positionV relativeFrom="paragraph">
                  <wp:posOffset>414655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9.05000000000001pt;margin-top:32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97790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5.95000000000002pt;margin-top:7.7000000000000002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0" distL="0" distR="0" simplePos="0" relativeHeight="125829382" behindDoc="0" locked="0" layoutInCell="1" allowOverlap="1">
                <wp:simplePos x="0" y="0"/>
                <wp:positionH relativeFrom="page">
                  <wp:posOffset>6110605</wp:posOffset>
                </wp:positionH>
                <wp:positionV relativeFrom="paragraph">
                  <wp:posOffset>323215</wp:posOffset>
                </wp:positionV>
                <wp:extent cx="1078865" cy="21653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1.15000000000003pt;margin-top:25.449999999999999pt;width:84.950000000000003pt;height:17.050000000000001pt;z-index:-125829371;mso-wrap-distance-left:0;mso-wrap-distance-top:25.4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ВИННИЦКАЯ ПОЛИНА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D2D2D"/>
        </w:rPr>
        <w:t xml:space="preserve">№ </w:t>
      </w:r>
      <w:r>
        <w:rPr>
          <w:rStyle w:val="CharStyle25"/>
          <w:lang w:val="en-US" w:eastAsia="en-US"/>
        </w:rPr>
        <w:t>00D8F9BFDAC26F0F41BFC441</w:t>
      </w:r>
      <w:r>
        <w:rPr>
          <w:rStyle w:val="CharStyle25"/>
          <w:color w:val="5D5D5D"/>
        </w:rPr>
        <w:t>01</w:t>
      </w:r>
      <w:r>
        <w:rPr>
          <w:rStyle w:val="CharStyle25"/>
        </w:rPr>
        <w:t>0ЕВ2ВЕ9</w:t>
      </w:r>
      <w:r>
        <w:rPr>
          <w:rStyle w:val="CharStyle25"/>
        </w:rPr>
        <w:t>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16.10.2024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09.01.2026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11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6840" distB="247015" distL="0" distR="0" simplePos="0" relativeHeight="12582938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116840</wp:posOffset>
                </wp:positionV>
                <wp:extent cx="1155065" cy="21653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pt;margin-top:9.2000000000000011pt;width:90.950000000000003pt;height:17.050000000000001pt;z-index:-125829369;mso-wrap-distance-left:0;mso-wrap-distance-top:9.2000000000000011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1600" distB="134620" distL="0" distR="1816735" simplePos="0" relativeHeight="125829386" behindDoc="0" locked="0" layoutInCell="1" allowOverlap="1">
            <wp:simplePos x="0" y="0"/>
            <wp:positionH relativeFrom="page">
              <wp:posOffset>2733040</wp:posOffset>
            </wp:positionH>
            <wp:positionV relativeFrom="paragraph">
              <wp:posOffset>101600</wp:posOffset>
            </wp:positionV>
            <wp:extent cx="298450" cy="34734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162560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90000000000001pt;margin-top:12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79425" distB="3175" distL="0" distR="0" simplePos="0" relativeHeight="125829387" behindDoc="0" locked="0" layoutInCell="1" allowOverlap="1">
                <wp:simplePos x="0" y="0"/>
                <wp:positionH relativeFrom="page">
                  <wp:posOffset>3162935</wp:posOffset>
                </wp:positionH>
                <wp:positionV relativeFrom="paragraph">
                  <wp:posOffset>479425</wp:posOffset>
                </wp:positionV>
                <wp:extent cx="1283335" cy="977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3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9.05000000000001pt;margin-top:37.75pt;width:101.05pt;height:7.7000000000000002pt;z-index:-125829366;mso-wrap-distance-left:0;mso-wrap-distance-top:37.7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3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0680" distB="0" distL="0" distR="0" simplePos="0" relativeHeight="125829389" behindDoc="0" locked="0" layoutInCell="1" allowOverlap="1">
                <wp:simplePos x="0" y="0"/>
                <wp:positionH relativeFrom="page">
                  <wp:posOffset>6189345</wp:posOffset>
                </wp:positionH>
                <wp:positionV relativeFrom="paragraph">
                  <wp:posOffset>360680</wp:posOffset>
                </wp:positionV>
                <wp:extent cx="999490" cy="21971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М.В. Федотова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7.35000000000002pt;margin-top:28.400000000000002pt;width:78.700000000000003pt;height:17.300000000000001pt;z-index:-125829364;mso-wrap-distance-left:0;mso-wrap-distance-top:28.4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М.В. Федотова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2702560</wp:posOffset>
            </wp:positionH>
            <wp:positionV relativeFrom="paragraph">
              <wp:posOffset>350520</wp:posOffset>
            </wp:positionV>
            <wp:extent cx="359410" cy="62166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3162935</wp:posOffset>
                </wp:positionH>
                <wp:positionV relativeFrom="paragraph">
                  <wp:posOffset>853440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49.05000000000001pt;margin-top:67.2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536575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5.90000000000001pt;margin-top:42.2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1063625</wp:posOffset>
                </wp:positionV>
                <wp:extent cx="1456690" cy="265430"/>
                <wp:wrapSquare wrapText="right"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color w:val="000000"/>
                              </w:rPr>
                              <w:t>Исп.Винницкая П.Д.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color w:val="000000"/>
                              </w:rPr>
                              <w:t>тел.8(4822) 34-24-31, вн. 069-113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55.350000000000001pt;margin-top:83.75pt;width:114.7pt;height:20.900000000000002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color w:val="000000"/>
                        </w:rPr>
                        <w:t>Исп.Винницкая П.Д.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color w:val="000000"/>
                        </w:rPr>
                        <w:t>тел.8(4822) 34-24-31, вн. 069-113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ФЕДОТОВА МАРИЯ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D2D2D"/>
        </w:rPr>
        <w:t xml:space="preserve">№ </w:t>
      </w:r>
      <w:r>
        <w:rPr>
          <w:rStyle w:val="CharStyle25"/>
          <w:lang w:val="en-US" w:eastAsia="en-US"/>
        </w:rPr>
        <w:t>00F3382FBCBB143092017E4EF4B85C0A72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5"/>
        </w:rPr>
        <w:t xml:space="preserve">Действителен с 17.10.2024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10.01.2026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980" w:right="0" w:firstLine="0"/>
        <w:jc w:val="left"/>
      </w:pPr>
      <w:r>
        <w:rPr>
          <w:rStyle w:val="CharStyle14"/>
        </w:rPr>
        <w:t>В.В.Обелкина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ОБЕЛКИНА ВИКТОРИЯ ВЯЧЕСЛАВОВНА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D2D2D"/>
        </w:rPr>
        <w:t xml:space="preserve">№ </w:t>
      </w:r>
      <w:r>
        <w:rPr>
          <w:rStyle w:val="CharStyle25"/>
          <w:lang w:val="en-US" w:eastAsia="en-US"/>
        </w:rPr>
        <w:t>0094003728A35CA1CE34D28636C3040B4A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25"/>
        </w:rPr>
        <w:t xml:space="preserve">Действителен с 15.07.2025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08.10.2026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9903460</wp:posOffset>
              </wp:positionV>
              <wp:extent cx="66167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2025-6435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00000000000004pt;margin-top:779.80000000000007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2025-6435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2025-6435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70000000000005pt;width:52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2025-6435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Body text (6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D2D2D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Body text (6)"/>
    <w:basedOn w:val="Normal"/>
    <w:link w:val="CharStyle11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D2D2D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