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00000000000003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50800" distB="0" distL="114300" distR="114300" simplePos="0" relativeHeight="125829381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ФГБУ «НМИЦ АГП им. В.И.Кулакова»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fldChar w:fldCharType="begin"/>
      </w:r>
      <w:r>
        <w:rPr/>
        <w:instrText> HYPERLINK "mailto:tender@oparina4.ru" </w:instrText>
      </w:r>
      <w:r>
        <w:fldChar w:fldCharType="separate"/>
      </w:r>
      <w:r>
        <w:rPr>
          <w:rStyle w:val="CharStyle7"/>
          <w:lang w:val="en-US" w:eastAsia="en-US"/>
        </w:rPr>
        <w:t>tender@oparina4.ru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>ИП Кравченко А.В.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120" w:line="240" w:lineRule="auto"/>
        <w:ind w:left="1040" w:right="0" w:firstLine="0"/>
        <w:jc w:val="both"/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7"/>
          <w:lang w:val="en-US" w:eastAsia="en-US"/>
        </w:rPr>
        <w:t>info@gosfarm.ru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№077/06/106-11103/2025 о нарушении</w:t>
        <w:br/>
        <w:t>законодательства о контрактной системе</w:t>
        <w:br/>
        <w:t>03.09.2025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Федеральной антимонопольной службы по г. Москве по контролю в сфере закупок товаров, работ, услуг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Е.Д.Мартьяновой,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видеоконференцсвязи), при участии представителей: ФГБУ «НМИЦ АГП им. В.И.Кулакова» Минздрава России, ИП Кравченко А.В., лично,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rStyle w:val="CharStyle7"/>
        </w:rPr>
        <w:t>рассмотрев жалобу ИП Кравченко А.В. (далее - Заявитель) на действия ФГБУ «НМИЦ АГП им. В.И.Кулакова» Минздрава России (далее - Заказчик) при проведении электронного аукциона на право заключения государственного контракта на поставку медицинского оборудования (Закупка № 0373100013125000946) (далее — аукцион), в соответствии с Федеральным законом от 05.04.2013 №44-ФЗ «О контрактной системе в сфере закупок товаров, работ услуг для обеспечения государственных и муниципальных нужд» (далее –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указывает, что в извещении об осуществлении закупки Заказчиком установлено ограничение, предусмотренное Постановлением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 услуг для обеспечения государственных и муниципальных нужд, закупок товаров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№1875), </w:t>
      </w:r>
      <w:r>
        <w:rPr>
          <w:rStyle w:val="CharStyle7"/>
        </w:rPr>
        <w:t>однако указанным в описании объекта закупок требованиям к техническим характеристикам, в полной мере, не соответствует ни одна из моделей ультразвукового диагностического оборудования, присутствующая в едином реестре радиоэлектронной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обоснование своей позиции Заявитель указывает, что на день подачи жалоб в едином реестре российской радиоэлектронной продукции зарегистрировано несколько ультразвуковых аппарата, производства АО «НИПК «Электрон», АО «Уральский приборостроительный завод», АО «Заслон» и ООО НМФ «Нейротех» соответствующих тому же классу (функциональному назначению) радиоэлектронной продукции, что и радиоэлектронная продукция, планируемая к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по мнению Заявителя, требования к товарам Заказчиком установлены, таким образом, что ни одна модель содержащееся в едином реестре российской радиоэлектронной продукции не соответствует требованиям описания объекта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 принятыми Правительством Российской Федерации в соответствии с п.1 ч.2 ст.14 Закона о контрактной системе, положения ст.14 Закона о контрактной системе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00"/>
        <w:jc w:val="both"/>
        <w:rPr>
          <w:sz w:val="24"/>
          <w:szCs w:val="24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076" w:right="540" w:bottom="768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 xml:space="preserve">Согласно пп.«б»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 устанавливающие ограничение закупок товаров (в том числе поставляемых при выполнении закупаемых работ, оказании </w:t>
      </w:r>
      <w:r>
        <w:rPr>
          <w:rStyle w:val="CharStyle7"/>
          <w:sz w:val="24"/>
          <w:szCs w:val="24"/>
          <w:lang w:val="en-US" w:eastAsia="en-US"/>
        </w:rPr>
        <w:t>2025-40753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П.1 Постановление Правительства РФ от </w:t>
      </w:r>
      <w:r>
        <w:rPr>
          <w:rStyle w:val="CharStyle7"/>
          <w:lang w:val="en-US" w:eastAsia="en-US"/>
        </w:rPr>
        <w:t xml:space="preserve">10.07.2019 №878 </w:t>
      </w:r>
      <w:r>
        <w:rPr>
          <w:rStyle w:val="CharStyle7"/>
        </w:rPr>
        <w:t xml:space="preserve">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7"/>
          <w:lang w:val="en-US" w:eastAsia="en-US"/>
        </w:rPr>
        <w:t xml:space="preserve">16 </w:t>
      </w:r>
      <w:r>
        <w:rPr>
          <w:rStyle w:val="CharStyle7"/>
        </w:rPr>
        <w:t xml:space="preserve">сентября </w:t>
      </w:r>
      <w:r>
        <w:rPr>
          <w:rStyle w:val="CharStyle7"/>
          <w:lang w:val="en-US" w:eastAsia="en-US"/>
        </w:rPr>
        <w:t xml:space="preserve">2016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N 925 </w:t>
      </w:r>
      <w:r>
        <w:rPr>
          <w:rStyle w:val="CharStyle7"/>
        </w:rPr>
        <w:t xml:space="preserve">и признании утратившими силу некоторых актов Правительства Российской Федерации»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№878) </w:t>
      </w:r>
      <w:r>
        <w:rPr>
          <w:rStyle w:val="CharStyle7"/>
        </w:rPr>
        <w:t xml:space="preserve">утвержден единый реестр российской радиоэлектронной продукции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Реестр).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Абз.3 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извещению об осуществлении закупок, в отношении закупаемого изделия «Система ультразвуковой визуализации универсальная, с питанием от сети» Заказчиком установлено ограничение, предусмотренное абз.3 п.1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отмечает, что положениями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и Постановления </w:t>
      </w:r>
      <w:r>
        <w:rPr>
          <w:rStyle w:val="CharStyle7"/>
          <w:lang w:val="en-US" w:eastAsia="en-US"/>
        </w:rPr>
        <w:t xml:space="preserve">№878 </w:t>
      </w:r>
      <w:r>
        <w:rPr>
          <w:rStyle w:val="CharStyle7"/>
        </w:rPr>
        <w:t>не установлены требования о том что описание объекта закупки, сформированное в соответствии с положениями Закона о контрактной системе, должно быть составлено на основании характеристик товаров, содержащихся в Реестре.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в составе жалобы Заявителем не представлено документов и сведений, указывающих на необходимость Заказчика формировать описание объекта закупки на основании характеристик изделий, содержащихся в Реестре.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114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 в составе жалобы Заявитель указывает, что Заказчиком не исполнены требования Постановления Правительства РФ от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декабря </w:t>
      </w:r>
      <w:r>
        <w:rPr>
          <w:rStyle w:val="CharStyle7"/>
          <w:lang w:val="en-US" w:eastAsia="en-US"/>
        </w:rPr>
        <w:t xml:space="preserve">2020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2014 </w:t>
      </w:r>
      <w:r>
        <w:rPr>
          <w:rStyle w:val="CharStyle7"/>
        </w:rPr>
        <w:t xml:space="preserve">«О минимальной обязательной доле закупок российских товаров и ее достижении заказчиком»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№2014), </w:t>
      </w:r>
      <w:r>
        <w:rPr>
          <w:rStyle w:val="CharStyle7"/>
        </w:rPr>
        <w:t xml:space="preserve">в части закупки аппаратов ультразвукового исследования Российского производства не менее </w:t>
      </w:r>
      <w:r>
        <w:rPr>
          <w:rStyle w:val="CharStyle7"/>
          <w:lang w:val="en-US" w:eastAsia="en-US"/>
        </w:rPr>
        <w:t>80%.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п.26 Перечня утративших силу актов и отдельных положений актов правительства российской федерации, утвержденным Постановлением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№2014 </w:t>
      </w:r>
      <w:r>
        <w:rPr>
          <w:rStyle w:val="CharStyle7"/>
        </w:rPr>
        <w:t>утрачивает силу.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П.12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определено, что Постановление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вступает в силу с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января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 xml:space="preserve">г., за исключением пп.«ф» п.4 Постановление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который вступает в силу с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сентября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>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Пп.«а» п.10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установлено, что Постановление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применяется к отношениям, связанным с осуществлением закупок,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после дня вступления в силу настоящего постановления, если иное не установлено Постановлением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установлено, что обжалуемое извещение опубликовано Заказчиком </w:t>
      </w:r>
      <w:r>
        <w:rPr>
          <w:rStyle w:val="CharStyle7"/>
          <w:lang w:val="en-US" w:eastAsia="en-US"/>
        </w:rPr>
        <w:t>15.08.2025.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Комиссия Управления приходит к выводу, что Постановление </w:t>
      </w:r>
      <w:r>
        <w:rPr>
          <w:rStyle w:val="CharStyle7"/>
          <w:lang w:val="en-US" w:eastAsia="en-US"/>
        </w:rPr>
        <w:t xml:space="preserve">№2014 </w:t>
      </w:r>
      <w:r>
        <w:rPr>
          <w:rStyle w:val="CharStyle7"/>
        </w:rPr>
        <w:t xml:space="preserve">утратило силу и положения Постановления </w:t>
      </w:r>
      <w:r>
        <w:rPr>
          <w:rStyle w:val="CharStyle7"/>
          <w:lang w:val="en-US" w:eastAsia="en-US"/>
        </w:rPr>
        <w:t xml:space="preserve">№2014 </w:t>
      </w:r>
      <w:r>
        <w:rPr>
          <w:rStyle w:val="CharStyle7"/>
        </w:rPr>
        <w:t>не могут быть применены в отношении данной закупочной процедуры.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Одновременно с этим Комиссия Управления отмечает.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ч.6 ст.14 Закона о контрактной системе по итогам года до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февраля года, следующего за отчетным годом, в единой информационной системе размещается отчет об объеме закупок товаров российского происхождения, работ услуг, соответственно выполняемых, оказываемых российскими лицами, который формируется путем обработки содержащейся в единой информационной системе информации, включенной в реестр контрактов, заключенных заказчиками, а также путем формирования заказчиком информации об объеме закупок, информация о которых не подлежит в соответствии с Законом о контрактной системе размещению в единой информационной системе. В случаях, установленных в соответствии с частью </w:t>
      </w:r>
      <w:r>
        <w:rPr>
          <w:rStyle w:val="CharStyle7"/>
          <w:lang w:val="en-US" w:eastAsia="en-US"/>
        </w:rPr>
        <w:t xml:space="preserve">8 </w:t>
      </w:r>
      <w:r>
        <w:rPr>
          <w:rStyle w:val="CharStyle7"/>
        </w:rPr>
        <w:t xml:space="preserve">настоящей статьи, при которых отчет об объеме закупок товаров российского происхождения, работ, услуг, соответственно выполняемых оказываемых российскими лицами, не подлежит размещению в единой информационной системе, заказчик до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февраля года, следующего за отчетным годом, составляет и направляет такой отчет в указанный в ч.7 ст.14 Закона о контрактной системе федеральный орган исполнительной власти.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В силу ч.7 ст.14 Закона о контрактной системе рассмотрение предусмотренных ч.6 ст.14 Закона о контрактной системе настоящей статьи отчетов об объеме закупок товаров российского происхождения, работ, услуг, соответственно выполняемых оказываемых российскими лицами,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марта года </w:t>
      </w:r>
      <w:r>
        <w:rPr>
          <w:rStyle w:val="CharStyle7"/>
          <w:sz w:val="24"/>
          <w:szCs w:val="24"/>
          <w:lang w:val="en-US" w:eastAsia="en-US"/>
        </w:rPr>
        <w:t>2025-40753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следующего за отчетным годом.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отмечает, что исходя из буквального толкования положений ч.6,7 ст.14 Закона о контрактной системе, контроль исполнения вышеуказанных требований осуществляется по итогам прошедшего, а не текущего периода.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Кроме того, п.9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>определено, что Министерство финансов Российской Федерации федеральным органом исполнительной власти уполномоченным на рассмотрение отчетов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лицами, и оценку результатов осуществления в отчетном году таких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учитывая, что в рамках рассмотрения данной жалобы Комиссия Управления по контролю в сфере закупок не обладает полномочиями по рассмотрению отчетов об объеме закупок товаров российского происхождения работ, услуг, соответственно выполняемых, оказываемых российскими гражданами российскими юридическими лицами, и оценку результатов осуществления в отчетном году таких закупок, в связи с чем рассмотрение данного довода жалобы в отношении нарушения Заказчиком указанного постановления не может быть осуществлено.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 в составе жалобы Заявитель указывает, что Заказчиком неправомерно не установлен запрет на допуск программного обеспечения происходящего из иностранных государств, для целей осуществления закупок для обеспечения государственных и муниципальных нужд, предусмотренный Постановлением Правительства РФ от </w:t>
      </w:r>
      <w:r>
        <w:rPr>
          <w:rStyle w:val="CharStyle7"/>
          <w:lang w:val="en-US" w:eastAsia="en-US"/>
        </w:rPr>
        <w:t xml:space="preserve">16.11.2015 №1236 </w:t>
      </w:r>
      <w:r>
        <w:rPr>
          <w:rStyle w:val="CharStyle7"/>
        </w:rPr>
        <w:t xml:space="preserve">«Об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>№1236).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обоснование своей позиции Заявитель указывает, что закупаемый товар содержит в своем составе программное обеспечение, в связи с чем Заказчик обязан установить запрет на допуск программного обеспечения, происходящего из иностранных государств, предусмотренный Постановлением </w:t>
      </w:r>
      <w:r>
        <w:rPr>
          <w:rStyle w:val="CharStyle7"/>
          <w:lang w:val="en-US" w:eastAsia="en-US"/>
        </w:rPr>
        <w:t>№1236.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отмечает, что, ввиду вступления в силу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п.2 Постановлением </w:t>
      </w:r>
      <w:r>
        <w:rPr>
          <w:rStyle w:val="CharStyle7"/>
          <w:lang w:val="en-US" w:eastAsia="en-US"/>
        </w:rPr>
        <w:t xml:space="preserve">№1236, </w:t>
      </w:r>
      <w:r>
        <w:rPr>
          <w:rStyle w:val="CharStyle7"/>
        </w:rPr>
        <w:t xml:space="preserve">в редакции от </w:t>
      </w:r>
      <w:r>
        <w:rPr>
          <w:rStyle w:val="CharStyle7"/>
          <w:lang w:val="en-US" w:eastAsia="en-US"/>
        </w:rPr>
        <w:t xml:space="preserve">20.12.2017 </w:t>
      </w:r>
      <w:r>
        <w:rPr>
          <w:rStyle w:val="CharStyle7"/>
        </w:rPr>
        <w:t xml:space="preserve">которого был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государств, утратил силу с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января </w:t>
      </w:r>
      <w:r>
        <w:rPr>
          <w:rStyle w:val="CharStyle7"/>
          <w:lang w:val="en-US" w:eastAsia="en-US"/>
        </w:rPr>
        <w:t xml:space="preserve">2025 </w:t>
      </w:r>
      <w:r>
        <w:rPr>
          <w:rStyle w:val="CharStyle7"/>
        </w:rPr>
        <w:t>года.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этим, как установлено Комиссией Управления, извещение об осуществлении закупки опубликовано Заказчиком </w:t>
      </w:r>
      <w:r>
        <w:rPr>
          <w:rStyle w:val="CharStyle7"/>
          <w:lang w:val="en-US" w:eastAsia="en-US"/>
        </w:rPr>
        <w:t xml:space="preserve">11.08.2025, </w:t>
      </w:r>
      <w:r>
        <w:rPr>
          <w:rStyle w:val="CharStyle7"/>
        </w:rPr>
        <w:t xml:space="preserve">в связи с чем довод Заявителя, на предмет нарушения требований Постановления </w:t>
      </w:r>
      <w:r>
        <w:rPr>
          <w:rStyle w:val="CharStyle7"/>
          <w:lang w:val="en-US" w:eastAsia="en-US"/>
        </w:rPr>
        <w:t xml:space="preserve">№1236, </w:t>
      </w:r>
      <w:r>
        <w:rPr>
          <w:rStyle w:val="CharStyle7"/>
        </w:rPr>
        <w:t>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95" w:lineRule="auto"/>
        <w:ind w:left="0" w:right="0" w:firstLine="700"/>
        <w:jc w:val="both"/>
        <w:rPr>
          <w:sz w:val="24"/>
          <w:szCs w:val="24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7" w:bottom="653" w:left="1100" w:header="0" w:footer="225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Также в составе жалобы Заявитель указывает, что установленные Заказчиком требования к характеристикам необходимого к поставке изделия </w:t>
      </w:r>
      <w:r>
        <w:rPr>
          <w:rStyle w:val="CharStyle7"/>
          <w:sz w:val="24"/>
          <w:szCs w:val="24"/>
          <w:lang w:val="en-US" w:eastAsia="en-US"/>
        </w:rPr>
        <w:t>2025-40753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«Система ультразвуковой визуализации универсальная, с питанием от сети» ограничивают круг участников закупки, поскольку совокупности установленных требований к изделию не соответствует ни одно изделие, либо соответствует изделие конкретного производителя.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 промышленных образцов, наименование страны происхождения товара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заседании Комиссии Управления представитель Заказчика пояснил, что требования к закупаемым изделиям установлены Заказчиком в соответствии с потребностью учреждения, при этом совокупности требований извещения, вопреки доводам жалобы, соответствуют изделия различных производителей, в частности: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изделие «Система ультразвуковая диагностическая медицинская </w:t>
      </w:r>
      <w:r>
        <w:rPr>
          <w:rStyle w:val="CharStyle7"/>
          <w:lang w:val="en-US" w:eastAsia="en-US"/>
        </w:rPr>
        <w:t xml:space="preserve">LOGIQ P: </w:t>
      </w:r>
      <w:r>
        <w:rPr>
          <w:rStyle w:val="CharStyle7"/>
        </w:rPr>
        <w:t xml:space="preserve">в вариантах исполнения: </w:t>
      </w:r>
      <w:r>
        <w:rPr>
          <w:rStyle w:val="CharStyle7"/>
          <w:lang w:val="en-US" w:eastAsia="en-US"/>
        </w:rPr>
        <w:t xml:space="preserve">LOGIQ P7, LOGIQ P8, LOGIQ P9, LOGIQ P10, </w:t>
      </w:r>
      <w:r>
        <w:rPr>
          <w:rStyle w:val="CharStyle7"/>
        </w:rPr>
        <w:t xml:space="preserve">с принадлежностями», производства компании «ДжиИ Ультрасаунд Корея, Лтд» (регистрационное удостоверение №РЗН </w:t>
      </w:r>
      <w:r>
        <w:rPr>
          <w:rStyle w:val="CharStyle7"/>
          <w:lang w:val="en-US" w:eastAsia="en-US"/>
        </w:rPr>
        <w:t xml:space="preserve">2016/4247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25.04.2024);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изделие «Система ультразвуковой визуализации универсальная серии </w:t>
      </w:r>
      <w:r>
        <w:rPr>
          <w:rStyle w:val="CharStyle7"/>
          <w:lang w:val="en-US" w:eastAsia="en-US"/>
        </w:rPr>
        <w:t xml:space="preserve">Consona N7 </w:t>
      </w:r>
      <w:r>
        <w:rPr>
          <w:rStyle w:val="CharStyle7"/>
        </w:rPr>
        <w:t xml:space="preserve">с принадлежностями по ТУ </w:t>
      </w:r>
      <w:r>
        <w:rPr>
          <w:rStyle w:val="CharStyle7"/>
          <w:lang w:val="en-US" w:eastAsia="en-US"/>
        </w:rPr>
        <w:t xml:space="preserve">26.60.12-001-51850757-2024» </w:t>
      </w:r>
      <w:r>
        <w:rPr>
          <w:rStyle w:val="CharStyle7"/>
        </w:rPr>
        <w:t xml:space="preserve">производства компании ООО «Миндрей Технолоджи Рус» (регистрационное удостоверение №РЗН </w:t>
      </w:r>
      <w:r>
        <w:rPr>
          <w:rStyle w:val="CharStyle7"/>
          <w:lang w:val="en-US" w:eastAsia="en-US"/>
        </w:rPr>
        <w:t xml:space="preserve">2024/23835 </w:t>
      </w:r>
      <w:r>
        <w:rPr>
          <w:rStyle w:val="CharStyle7"/>
        </w:rPr>
        <w:t xml:space="preserve">от </w:t>
      </w:r>
      <w:r>
        <w:rPr>
          <w:rStyle w:val="CharStyle7"/>
          <w:lang w:val="en-US" w:eastAsia="en-US"/>
        </w:rPr>
        <w:t>30.10.2024).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 обоснование своей позиции представитель Заказчика представил информационное письмо ООО «Миндрей Технолоджи Рус», подтверждающее соответствие требованиям извещения изделия «Система ультразвуковой визуализации универсальная серии </w:t>
      </w:r>
      <w:r>
        <w:rPr>
          <w:rStyle w:val="CharStyle7"/>
          <w:lang w:val="en-US" w:eastAsia="en-US"/>
        </w:rPr>
        <w:t xml:space="preserve">Consona N7 </w:t>
      </w:r>
      <w:r>
        <w:rPr>
          <w:rStyle w:val="CharStyle7"/>
        </w:rPr>
        <w:t xml:space="preserve">с принадлежностями по ТУ </w:t>
      </w:r>
      <w:r>
        <w:rPr>
          <w:rStyle w:val="CharStyle7"/>
          <w:lang w:val="en-US" w:eastAsia="en-US"/>
        </w:rPr>
        <w:t xml:space="preserve">26.60.12-001-51850757-2024», </w:t>
      </w:r>
      <w:r>
        <w:rPr>
          <w:rStyle w:val="CharStyle7"/>
        </w:rPr>
        <w:t xml:space="preserve">а также информационное письмо ООО «ДжиИ Хэлскеа», подтверждающее соответствие требованиям извещения изделия «Система ультразвуковая диагностическая медицинская </w:t>
      </w:r>
      <w:r>
        <w:rPr>
          <w:rStyle w:val="CharStyle7"/>
          <w:lang w:val="en-US" w:eastAsia="en-US"/>
        </w:rPr>
        <w:t xml:space="preserve">LOGIQ P: </w:t>
      </w:r>
      <w:r>
        <w:rPr>
          <w:rStyle w:val="CharStyle7"/>
        </w:rPr>
        <w:t xml:space="preserve">в вариантах исполнения: </w:t>
      </w:r>
      <w:r>
        <w:rPr>
          <w:rStyle w:val="CharStyle7"/>
          <w:lang w:val="en-US" w:eastAsia="en-US"/>
        </w:rPr>
        <w:t xml:space="preserve">LOGIQ P7, LOGIQ P8, LOGIQ P9, LOGIQ P10, </w:t>
      </w:r>
      <w:r>
        <w:rPr>
          <w:rStyle w:val="CharStyle7"/>
        </w:rPr>
        <w:t xml:space="preserve">с принадлежностями» в варианте исполнения </w:t>
      </w:r>
      <w:r>
        <w:rPr>
          <w:rStyle w:val="CharStyle7"/>
          <w:lang w:val="en-US" w:eastAsia="en-US"/>
        </w:rPr>
        <w:t>LOGIQ P10.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Вместе с этим на заседании Комиссии Управления представителем Заявителя а также в составе жалобы Заявителем, не представлено документов и сведений позволяющих Комиссии Управления установить факт соответствия совокупности требований извещения оборудованию конкретного производителя, в том числе, в жалобе не представлена информация о таком оборудовании, либо информации о производителе такого оборудования, о требованиях к характеристикам закупаемого оборудования, установленных в описании объекта закупки, которые не позволяют предложить к поставке оборудование иных производителей или характеристики вовсе не соответствующие каким-либо из существующих изделий и свидетельствующих о наличии ограничений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Кроме того, в составе жалобы Заявителем также не представлено каких-либо сведений, указывающих на несоответствие вышеуказанного оборудования требованиям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Ввиду вышеизложенного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Иного на заседании Комиссии Управления не выявлено.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Также в составе жалобы Заявитель указывает, что структурированная форма извещения сформирована Заказчиком в нарушение положений Закона о контрактной системе, так как в составе извещения в отдельном файле отсутствует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описание объекта закупки, в четком соответствии с описанием объекта закупки отраженном в структурированной форме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этим Комиссией Управления установлено, что в составе жалобы, а также на заседании Комиссии Управления Заявителем, не указаны положения извещения, описания объекта закупки, являющиеся противоречивыми и/или неполными в той или иной части,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в составе жалобы Заявитель указывает, что в извещении не указаны контактные данные лица Заказчика, являющегося конечным получателем изделия, при этом, по мнению Заявителя, в извещении подлежат указанию контактные данные лица, являющегося конечным получателем изделий.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 ч.1 ст.42 Закона о контрактной системе извещение об осуществлении закупки должно содержать наименование, место нахождения почтовый адрес, адрес электронной почты, номер контактного телефона ответственное должностное лицо заказчика, специализированной организации (в случае ее привлечения заказчиком).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извещения Заказчиком размещена в том числе следующая информация: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«Ответственное должностное лицо: Аносова Е. А.»;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«Адрес электронной почты: </w:t>
      </w:r>
      <w:r>
        <w:rPr>
          <w:rStyle w:val="CharStyle7"/>
          <w:lang w:val="en-US" w:eastAsia="en-US"/>
        </w:rPr>
        <w:t>tender@oparina4.ru»;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«Номер контактного телефона: </w:t>
      </w:r>
      <w:r>
        <w:rPr>
          <w:rStyle w:val="CharStyle7"/>
          <w:lang w:val="en-US" w:eastAsia="en-US"/>
        </w:rPr>
        <w:t>7-495-4382288».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Комиссия Управления отмечает, что Законом о контрактной системе не предусмотрена обязанность Заказчика размещать в извещении сведения о сотрудниках, фактических получателях закупаемого изделия, в связи с чем размещение вышеуказанной информации об ответственном лице и его контактных данных (контактных данных Заказчика) является надлежащим исполнением требований п.1 ч.1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8. </w:t>
      </w:r>
      <w:r>
        <w:rPr>
          <w:rStyle w:val="CharStyle7"/>
        </w:rPr>
        <w:t>Также в составе жалобы Заявитель указывает, что составе извещения, в том числе в проекте контракта, не содержится сведений о сроке действия и окончания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п.8 ч.1 ст.42 Закона о контрактной системе извещение об осуществлении закупки должно содержать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п.5 ч.2 ст.42 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документ, содержащий проект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составе извещения Заказчиком размещена в том числе следующая информация: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«Дата начала исполнения контракта: с даты заключения контракта»;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«Срок исполнения контракта: </w:t>
      </w:r>
      <w:r>
        <w:rPr>
          <w:rStyle w:val="CharStyle7"/>
          <w:lang w:val="en-US" w:eastAsia="en-US"/>
        </w:rPr>
        <w:t>20.12.2025».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 предусмотренном ч.24 ст.22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Исходя из вышеизложенного Комиссия Управления приходит к выводу, что сведения о сроках исполнения контракта размещены Заказчиком в составе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10. </w:t>
      </w:r>
      <w:r>
        <w:rPr>
          <w:rStyle w:val="CharStyle7"/>
        </w:rPr>
        <w:t xml:space="preserve">Также в составе жалобы Заявитель ходатайствует о направлении жалобы в органы финансового контроля, Министерство здравоохранения Российской Федерации для рассмотрения доводов жалобы, относящихся к компетенции данных органов, в частности проведения проверки обоснования начальной (максимальной) цены контракта и исполнения положений Постановления </w:t>
      </w:r>
      <w:r>
        <w:rPr>
          <w:rStyle w:val="CharStyle7"/>
          <w:lang w:val="en-US" w:eastAsia="en-US"/>
        </w:rPr>
        <w:t>№2014.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Комиссия Управления отмечает, что жалоба Заявителя не перенаправлялась в органы финансового контроля, Министерство здравоохранения Российской Федерации, так как была принята к рассмотрению Московским УФАС России в рамках главы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>Закона о контрактной системе, доводы, относящихся к компетенции органов финансового контроля, Министерства промышленности и торговли Российской Федерации, оставлены Комиссией Управления без рассмотрения, ввиду чего Заявитель вправе самостоятельно подать жалобу в соответствующие органы.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Комиссия Управления отмечает, что направление жалобы по ведомственной принадлежности осуществляется в рамках предварительного рассмотрения жалобы, при этом в рамках предварительного рассмотрения данной жалобы установлено, что жалоба подлежит рассмотрению Комиссией Управления, в рамках большей части доводов, ввиду чего не может быть перенаправлена по ведомственной принадлежности для рассмотрения в иные органы государственного контроля.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Комиссией Управления принято решение об отказе в удовлетворении вышеуказанного ходатайства.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 Заявителем в адрес Московского УФАС России направлено ходатайство (вх.№53183-ЭП/25 от </w:t>
      </w:r>
      <w:r>
        <w:rPr>
          <w:rStyle w:val="CharStyle7"/>
          <w:lang w:val="en-US" w:eastAsia="en-US"/>
        </w:rPr>
        <w:t xml:space="preserve">03.09.2025) </w:t>
      </w:r>
      <w:r>
        <w:rPr>
          <w:rStyle w:val="CharStyle7"/>
        </w:rPr>
        <w:t>об ознакомлении с документами, направленными Заказчиком в материалы дела, в связи с чем Комиссией Управления в адрес Заявителя направлены запрашиваемые документы, в части тех документов, которые были представлены Заказчиком в материалы дела и запрошены Заявителем.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Также в своем ходатайстве ИП Кравченко А.В. указывает о необходимости переноса заседания Комиссии Управления на время, определенное в ходатайстве.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Московское УФАС России считает необходимым отметить, что назначение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даты, места и времени рассмотрения жалобы осуществляется должностными лицами Московского УФАС России в соответствии с внутренним распорядком, в том числе с учетом уже назначенных заседаний, а также необходимостью осуществления должностными лицами своих служебных обязанностей, направленных на обеспечение исполнения государственных функций, ввиду чего осуществление переноса рассмотрения жалобы без достаточных на то оснований, препятствующих рассмотрению жалобы, не осуществляется.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Помимо этого ИП Кравченко А.В. ходатайствует о рассмотрении новых доводов, не содержащихся в составе жалоб и озвученных представителем ИП Кравченко А.В. на заседании комиссии по контролю в сфере закупок товаров работ, услуг Управления Федеральной антимонопольной службы по г. Москве.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Московское УФАС России отмечает, что порядок подачи жалобы регламентирован ст.105 Закона о контрактной системе. Согласно п.1 ч.2 ст.105 Закона о контрактной системе, жалоба на положения извещения об осуществлении закупки, документации о закупке (в случае, если Законом о контрактной системе предусмотрена документация о закупке) может быть подана до окончания срока подачи заявок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тем, в рамках рассматриваемого ходатайства ИП Кравченко А.В. дополнительные доводы не представлены.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этом следует отметить, что дополнительные доводы жалобы могут быть приняты к рассмотрению только в том случае, если они поданы до окончания срока подачи заявок на участие в закупке. Несоблюдение указанного требования влечет за собой невозможность осуществить процессуальные действия, предусмотренные указанным законом, а также ограничивает право заказчика и иных лиц, чьи права и законные интересы непосредственно затрагиваются рассмотрением жалобы, на представление возражений, что, в свою очередь, приведет к нарушению их процессуальных прав и принципа равноправия сторон, препятствуя формированию мотивированной правовой позиции по данным доводам.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связи с чем в вышеуказанных ходатайствах ИП Кравченко А.В. Комиссией Управления отказано.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38" w:right="546" w:bottom="111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жалобу ИП Кравченко А.В. на действия ФГБУ «НМИЦ АГП им. В.И.Кулакова» Минздрава России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6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79" w:right="532" w:bottom="156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200000000000003pt;margin-top:10.pt;width:149.30000000000001pt;height:19.699999999999999pt;z-index:-125829371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4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200025</wp:posOffset>
            </wp:positionV>
            <wp:extent cx="359410" cy="39624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80000000000001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5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78.90000000000003pt;margin-top:10.pt;width:89.5pt;height:19.699999999999999pt;z-index:-125829368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7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Грешнева Дарья Сергеевна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  <w:color w:val="292929"/>
        </w:rPr>
        <w:t xml:space="preserve">Сертификат № </w:t>
      </w:r>
      <w:r>
        <w:rPr>
          <w:rStyle w:val="CharStyle19"/>
          <w:color w:val="5D5D5D"/>
        </w:rPr>
        <w:t>00831</w:t>
      </w:r>
      <w:r>
        <w:rPr>
          <w:rStyle w:val="CharStyle19"/>
          <w:lang w:val="en-US" w:eastAsia="en-US"/>
        </w:rPr>
        <w:t>B7545C61281C4BAB156778A683BFB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292929"/>
        </w:rPr>
        <w:t xml:space="preserve">17.07.2025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0.90000000000003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75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Матюшенко Александр Александрович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4F595A5C3E5ABB2DD77161F08559FC07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19"/>
        </w:rPr>
        <w:t xml:space="preserve">Действителен с 22.07.2025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0.90000000000003pt;margin-top:36.64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75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Е.Д. Мартяьнова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Мартьянова Елена Дмитриевна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009EC19D0AD083DC593EE489E44F6A415</w:t>
      </w:r>
      <w:r>
        <w:rPr>
          <w:rStyle w:val="CharStyle19"/>
          <w:lang w:val="en-US" w:eastAsia="en-US"/>
        </w:rPr>
        <w:t>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84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5D5D5D"/>
        </w:rPr>
        <w:t>21</w:t>
      </w:r>
      <w:r>
        <w:rPr>
          <w:rStyle w:val="CharStyle19"/>
        </w:rPr>
        <w:t>.01</w:t>
      </w:r>
      <w:r>
        <w:rPr>
          <w:rStyle w:val="CharStyle19"/>
          <w:color w:val="5D5D5D"/>
        </w:rPr>
        <w:t xml:space="preserve">.2025 по </w:t>
      </w:r>
      <w:r>
        <w:rPr>
          <w:rStyle w:val="CharStyle19"/>
        </w:rPr>
        <w:t>16.04.2026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79" w:right="532" w:bottom="147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10269220</wp:posOffset>
              </wp:positionV>
              <wp:extent cx="722630" cy="12509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2025-40753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950000000000003pt;margin-top:808.60000000000002pt;width:56.899999999999999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2025-40753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2025-40753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2025-40753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2025-40753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794.70000000000005pt;width:56.899999999999999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2025-40753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421640</wp:posOffset>
              </wp:positionV>
              <wp:extent cx="7620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3.200000000000003pt;width:6.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30810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08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6.35000000000002pt;margin-top:37.25pt;width:10.300000000000001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421640</wp:posOffset>
              </wp:positionV>
              <wp:extent cx="7620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05000000000001pt;margin-top:33.200000000000003pt;width:6.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30810" cy="6985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08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6.35000000000002pt;margin-top:37.25pt;width:10.300000000000001pt;height:5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5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Picture caption_"/>
    <w:basedOn w:val="DefaultParagraphFont"/>
    <w:link w:val="Style1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7">
    <w:name w:val="Body text (5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Picture caption"/>
    <w:basedOn w:val="Normal"/>
    <w:link w:val="CharStyle1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6">
    <w:name w:val="Body text (5)"/>
    <w:basedOn w:val="Normal"/>
    <w:link w:val="CharStyle17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