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0.09.2025</w:t>
        <w:tab/>
      </w:r>
      <w:r>
        <w:fldChar w:fldCharType="end"/>
      </w:r>
      <w:r>
        <w:rPr>
          <w:rStyle w:val="CharStyle10"/>
        </w:rPr>
        <w:t>№ 36390/25</w:t>
      </w:r>
      <w:bookmarkEnd w:id="0"/>
    </w:p>
    <w:p>
      <w:pPr>
        <w:spacing w:lineRule="exact" w:line="1"/>
        <w:rPr>
          <w:sz w:val="2"/>
          <w:szCs w:val="2"/>
        </w:rPr>
      </w:pPr>
      <w:r>
        <w:br w:type="column"/>
      </w:r>
    </w:p>
    <w:p>
      <w:pPr>
        <w:pStyle w:val="Style11"/>
        <w:keepNext w:val="0"/>
        <w:keepLines w:val="0"/>
        <w:widowControl w:val="0"/>
        <w:shd w:val="clear" w:color="auto" w:fill="auto"/>
        <w:bidi w:val="0"/>
        <w:spacing w:before="0" w:after="280" w:line="240" w:lineRule="auto"/>
        <w:ind w:left="0" w:right="0" w:firstLine="0"/>
        <w:jc w:val="left"/>
      </w:pPr>
      <w:r>
        <w:rPr>
          <w:rStyle w:val="CharStyle12"/>
        </w:rPr>
        <w:t>ГБОУДО ЦДТ Замоскворечье</w:t>
      </w:r>
    </w:p>
    <w:p>
      <w:pPr>
        <w:pStyle w:val="Style11"/>
        <w:keepNext w:val="0"/>
        <w:keepLines w:val="0"/>
        <w:widowControl w:val="0"/>
        <w:shd w:val="clear" w:color="auto" w:fill="auto"/>
        <w:bidi w:val="0"/>
        <w:spacing w:before="0" w:after="200" w:line="240" w:lineRule="auto"/>
        <w:ind w:left="0" w:right="0" w:firstLine="0"/>
        <w:jc w:val="left"/>
      </w:pPr>
      <w:r>
        <w:fldChar w:fldCharType="begin"/>
      </w:r>
      <w:r>
        <w:rPr/>
        <w:instrText> HYPERLINK "mailto:moskv@edu.mos.ru" </w:instrText>
      </w:r>
      <w:r>
        <w:fldChar w:fldCharType="separate"/>
      </w:r>
      <w:r>
        <w:rPr>
          <w:rStyle w:val="CharStyle12"/>
          <w:lang w:val="en-US" w:eastAsia="en-US"/>
        </w:rPr>
        <w:t>moskv@edu.mos.ru</w:t>
      </w:r>
      <w:r>
        <w:fldChar w:fldCharType="end"/>
      </w:r>
    </w:p>
    <w:p>
      <w:pPr>
        <w:pStyle w:val="Style11"/>
        <w:keepNext w:val="0"/>
        <w:keepLines w:val="0"/>
        <w:widowControl w:val="0"/>
        <w:shd w:val="clear" w:color="auto" w:fill="auto"/>
        <w:bidi w:val="0"/>
        <w:spacing w:before="0" w:after="200" w:line="240" w:lineRule="auto"/>
        <w:ind w:left="0" w:right="0" w:firstLine="0"/>
        <w:jc w:val="left"/>
      </w:pPr>
      <w:r>
        <w:rPr>
          <w:rStyle w:val="CharStyle12"/>
        </w:rPr>
        <w:t>ИП Кныр И.А.</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94" w:right="1909" w:bottom="708" w:left="1293" w:header="0" w:footer="3" w:gutter="0"/>
          <w:pgNumType w:start="1"/>
          <w:cols w:num="2" w:space="1273"/>
          <w:noEndnote/>
          <w:rtlGutter w:val="0"/>
          <w:docGrid w:linePitch="360"/>
        </w:sectPr>
      </w:pPr>
      <w:r>
        <w:fldChar w:fldCharType="begin"/>
      </w:r>
      <w:r>
        <w:rPr/>
        <w:instrText> HYPERLINK "mailto:89250270993@mail.ru" </w:instrText>
      </w:r>
      <w:r>
        <w:fldChar w:fldCharType="separate"/>
      </w:r>
      <w:r>
        <w:rPr>
          <w:rStyle w:val="CharStyle12"/>
          <w:lang w:val="en-US" w:eastAsia="en-US"/>
        </w:rPr>
        <w:t>89250270993@mail.ru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708" w:left="0" w:header="0" w:footer="3" w:gutter="0"/>
          <w:cols w:space="720"/>
          <w:noEndnote/>
          <w:rtlGutter w:val="0"/>
          <w:docGrid w:linePitch="360"/>
        </w:sectPr>
      </w:pPr>
    </w:p>
    <w:p>
      <w:pPr>
        <w:pStyle w:val="Style11"/>
        <w:keepNext w:val="0"/>
        <w:keepLines w:val="0"/>
        <w:widowControl w:val="0"/>
        <w:shd w:val="clear" w:color="auto" w:fill="auto"/>
        <w:bidi w:val="0"/>
        <w:spacing w:before="0" w:after="60"/>
        <w:ind w:left="0" w:right="0" w:firstLine="0"/>
        <w:jc w:val="center"/>
      </w:pPr>
      <w:r>
        <w:rPr>
          <w:rStyle w:val="CharStyle12"/>
          <w:b/>
          <w:bCs/>
        </w:rPr>
        <w:t>РЕШЕНИЕ</w:t>
      </w:r>
    </w:p>
    <w:p>
      <w:pPr>
        <w:pStyle w:val="Style11"/>
        <w:keepNext w:val="0"/>
        <w:keepLines w:val="0"/>
        <w:widowControl w:val="0"/>
        <w:shd w:val="clear" w:color="auto" w:fill="auto"/>
        <w:tabs>
          <w:tab w:pos="8957" w:val="left"/>
        </w:tabs>
        <w:bidi w:val="0"/>
        <w:spacing w:before="0" w:after="0"/>
        <w:ind w:left="0" w:right="0" w:firstLine="0"/>
        <w:jc w:val="center"/>
      </w:pPr>
      <w:r>
        <w:rPr>
          <w:rStyle w:val="CharStyle12"/>
          <w:b/>
          <w:bCs/>
        </w:rPr>
        <w:t xml:space="preserve">по делу </w:t>
      </w:r>
      <w:r>
        <w:rPr>
          <w:rStyle w:val="CharStyle12"/>
          <w:b/>
          <w:bCs/>
          <w:lang w:val="en-US" w:eastAsia="en-US"/>
        </w:rPr>
        <w:t xml:space="preserve">№077/06/106-11201/2025 </w:t>
      </w:r>
      <w:r>
        <w:rPr>
          <w:rStyle w:val="CharStyle12"/>
          <w:b/>
          <w:bCs/>
        </w:rPr>
        <w:t>о нарушении</w:t>
        <w:br/>
        <w:t>законодательства о контрактной системе</w:t>
        <w:br/>
      </w:r>
      <w:r>
        <w:rPr>
          <w:rStyle w:val="CharStyle12"/>
          <w:b/>
          <w:bCs/>
          <w:lang w:val="en-US" w:eastAsia="en-US"/>
        </w:rPr>
        <w:t>05.09.2025</w:t>
        <w:tab/>
      </w:r>
      <w:r>
        <w:rPr>
          <w:rStyle w:val="CharStyle12"/>
          <w:b/>
          <w:bCs/>
        </w:rPr>
        <w:t>г. Москва</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ind w:left="0" w:right="0" w:firstLine="700"/>
        <w:jc w:val="both"/>
      </w:pPr>
      <w:r>
        <w:rPr>
          <w:rStyle w:val="CharStyle12"/>
        </w:rPr>
        <w:t>Председательствующего: 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ind w:left="0" w:right="0" w:firstLine="700"/>
        <w:jc w:val="both"/>
      </w:pPr>
      <w:r>
        <w:rPr>
          <w:rStyle w:val="CharStyle12"/>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ind w:left="0" w:right="0" w:firstLine="700"/>
        <w:jc w:val="both"/>
      </w:pPr>
      <w:r>
        <w:rPr>
          <w:rStyle w:val="CharStyle12"/>
        </w:rPr>
        <w:t>Специалиста-эксперта отдела обжалования государственных закупок А.И. Рахматуллаева,</w:t>
      </w:r>
    </w:p>
    <w:p>
      <w:pPr>
        <w:pStyle w:val="Style11"/>
        <w:keepNext w:val="0"/>
        <w:keepLines w:val="0"/>
        <w:widowControl w:val="0"/>
        <w:shd w:val="clear" w:color="auto" w:fill="auto"/>
        <w:bidi w:val="0"/>
        <w:spacing w:before="0" w:after="0"/>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ind w:left="0" w:right="0" w:firstLine="700"/>
        <w:jc w:val="both"/>
      </w:pPr>
      <w:r>
        <w:rPr>
          <w:rStyle w:val="CharStyle12"/>
        </w:rPr>
        <w:t xml:space="preserve">при участии представителей: ГБОУДО ЦДТ Замоскворечье: Маринич А.В. (дов.№26 от </w:t>
      </w:r>
      <w:r>
        <w:rPr>
          <w:rStyle w:val="CharStyle12"/>
          <w:lang w:val="en-US" w:eastAsia="en-US"/>
        </w:rPr>
        <w:t xml:space="preserve">25.06.2025), </w:t>
      </w:r>
      <w:r>
        <w:rPr>
          <w:rStyle w:val="CharStyle12"/>
        </w:rPr>
        <w:t xml:space="preserve">Корнилова Н.К. (дов.№33 от </w:t>
      </w:r>
      <w:r>
        <w:rPr>
          <w:rStyle w:val="CharStyle12"/>
          <w:lang w:val="en-US" w:eastAsia="en-US"/>
        </w:rPr>
        <w:t xml:space="preserve">04.09.2025), </w:t>
      </w:r>
      <w:r>
        <w:rPr>
          <w:rStyle w:val="CharStyle12"/>
        </w:rPr>
        <w:t xml:space="preserve">Петрову Д.А. (дов.№32 от </w:t>
      </w:r>
      <w:r>
        <w:rPr>
          <w:rStyle w:val="CharStyle12"/>
          <w:lang w:val="en-US" w:eastAsia="en-US"/>
        </w:rPr>
        <w:t xml:space="preserve">04.09.2025), </w:t>
      </w:r>
      <w:r>
        <w:rPr>
          <w:rStyle w:val="CharStyle12"/>
        </w:rPr>
        <w:t xml:space="preserve">ИП Кныр И.А.: Румянцевой Е.В. (дов.№4 от </w:t>
      </w:r>
      <w:r>
        <w:rPr>
          <w:rStyle w:val="CharStyle12"/>
          <w:lang w:val="en-US" w:eastAsia="en-US"/>
        </w:rPr>
        <w:t>01.09.2025),</w:t>
      </w:r>
    </w:p>
    <w:p>
      <w:pPr>
        <w:pStyle w:val="Style11"/>
        <w:keepNext w:val="0"/>
        <w:keepLines w:val="0"/>
        <w:widowControl w:val="0"/>
        <w:shd w:val="clear" w:color="auto" w:fill="auto"/>
        <w:bidi w:val="0"/>
        <w:spacing w:before="0" w:after="0"/>
        <w:ind w:left="0" w:right="0" w:firstLine="700"/>
        <w:jc w:val="both"/>
      </w:pPr>
      <w:r>
        <w:rPr>
          <w:rStyle w:val="CharStyle12"/>
        </w:rPr>
        <w:t xml:space="preserve">рассмотрев жалобу ИП Кныр И.А. (далее </w:t>
      </w:r>
      <w:r>
        <w:rPr>
          <w:rStyle w:val="CharStyle12"/>
          <w:lang w:val="en-US" w:eastAsia="en-US"/>
        </w:rPr>
        <w:t xml:space="preserve">— </w:t>
      </w:r>
      <w:r>
        <w:rPr>
          <w:rStyle w:val="CharStyle12"/>
        </w:rPr>
        <w:t xml:space="preserve">Заявитель) на действия ГБОУДО ЦДТ Замоскворечье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выполнение работ по проведению текущего ремонта зданий и (или) сооружений (г. Москва, ул. Винокурова, д.3а) для нужд ГБОУДО ЦДТ Замоскворечье (Закупка </w:t>
      </w:r>
      <w:r>
        <w:rPr>
          <w:rStyle w:val="CharStyle12"/>
          <w:lang w:val="en-US" w:eastAsia="en-US"/>
        </w:rPr>
        <w:t xml:space="preserve">№ 0373200338025000013)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w:t>
      </w:r>
    </w:p>
    <w:p>
      <w:pPr>
        <w:widowControl w:val="0"/>
        <w:spacing w:line="1" w:lineRule="exact"/>
        <w:sectPr>
          <w:footnotePr>
            <w:pos w:val="pageBottom"/>
            <w:numFmt w:val="decimal"/>
            <w:numRestart w:val="continuous"/>
          </w:footnotePr>
          <w:type w:val="continuous"/>
          <w:pgSz w:w="11900" w:h="16840"/>
          <w:pgMar w:top="294" w:right="541" w:bottom="708" w:left="1106" w:header="0" w:footer="3" w:gutter="0"/>
          <w:cols w:space="720"/>
          <w:noEndnote/>
          <w:rtlGutter w:val="0"/>
          <w:docGrid w:linePitch="360"/>
        </w:sectPr>
      </w:pPr>
      <w:r>
        <w:drawing>
          <wp:anchor distT="177800" distB="0" distL="0" distR="0" simplePos="0" relativeHeight="125829378" behindDoc="0" locked="0" layoutInCell="1" allowOverlap="1">
            <wp:simplePos x="0" y="0"/>
            <wp:positionH relativeFrom="page">
              <wp:posOffset>717550</wp:posOffset>
            </wp:positionH>
            <wp:positionV relativeFrom="paragraph">
              <wp:posOffset>177800</wp:posOffset>
            </wp:positionV>
            <wp:extent cx="1511935" cy="292735"/>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8"/>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300"/>
        <w:ind w:left="0" w:right="0" w:firstLine="0"/>
        <w:jc w:val="both"/>
      </w:pPr>
      <w:r>
        <w:rPr>
          <w:rStyle w:val="CharStyle12"/>
        </w:rPr>
        <w:t>контрактной системе),</w:t>
      </w:r>
    </w:p>
    <w:p>
      <w:pPr>
        <w:pStyle w:val="Style11"/>
        <w:keepNext w:val="0"/>
        <w:keepLines w:val="0"/>
        <w:widowControl w:val="0"/>
        <w:shd w:val="clear" w:color="auto" w:fill="auto"/>
        <w:bidi w:val="0"/>
        <w:spacing w:before="0" w:after="300"/>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ind w:left="0" w:right="0" w:firstLine="74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ind w:left="0" w:right="0" w:firstLine="740"/>
        <w:jc w:val="both"/>
      </w:pPr>
      <w:r>
        <w:rPr>
          <w:rStyle w:val="CharStyle12"/>
        </w:rPr>
        <w:t>На заседании Комиссии Управления Заказчиком представлены документы и сведения, запрашиваемые письмом Московского УФАС России.</w:t>
      </w:r>
    </w:p>
    <w:p>
      <w:pPr>
        <w:pStyle w:val="Style11"/>
        <w:keepNext w:val="0"/>
        <w:keepLines w:val="0"/>
        <w:widowControl w:val="0"/>
        <w:shd w:val="clear" w:color="auto" w:fill="auto"/>
        <w:bidi w:val="0"/>
        <w:spacing w:before="0" w:after="0"/>
        <w:ind w:left="0" w:right="0" w:firstLine="740"/>
        <w:jc w:val="both"/>
      </w:pPr>
      <w:r>
        <w:rPr>
          <w:rStyle w:val="CharStyle12"/>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11"/>
        <w:keepNext w:val="0"/>
        <w:keepLines w:val="0"/>
        <w:widowControl w:val="0"/>
        <w:numPr>
          <w:ilvl w:val="0"/>
          <w:numId w:val="1"/>
        </w:numPr>
        <w:shd w:val="clear" w:color="auto" w:fill="auto"/>
        <w:tabs>
          <w:tab w:pos="1021" w:val="left"/>
        </w:tabs>
        <w:bidi w:val="0"/>
        <w:spacing w:before="0" w:after="0"/>
        <w:ind w:left="0" w:right="0" w:firstLine="740"/>
        <w:jc w:val="both"/>
      </w:pPr>
      <w:r>
        <w:rPr>
          <w:rStyle w:val="CharStyle12"/>
          <w:lang w:val="en-US" w:eastAsia="en-US"/>
        </w:rPr>
        <w:t xml:space="preserve">. </w:t>
      </w:r>
      <w:r>
        <w:rPr>
          <w:rStyle w:val="CharStyle12"/>
        </w:rPr>
        <w:t>В составе жалобы Заявитель указывает, что разъяснения положений извещения об осуществлении закупки размещены Заказчиком в нарушение положений Закона о контрактной системе, так как такие разъяснения не соответствуют действительности, а также не отвечают по сути направленного запроса.</w:t>
      </w:r>
    </w:p>
    <w:p>
      <w:pPr>
        <w:pStyle w:val="Style11"/>
        <w:keepNext w:val="0"/>
        <w:keepLines w:val="0"/>
        <w:widowControl w:val="0"/>
        <w:shd w:val="clear" w:color="auto" w:fill="auto"/>
        <w:bidi w:val="0"/>
        <w:spacing w:before="0" w:after="0"/>
        <w:ind w:left="0" w:right="0" w:firstLine="740"/>
        <w:jc w:val="both"/>
      </w:pPr>
      <w:r>
        <w:rPr>
          <w:rStyle w:val="CharStyle12"/>
        </w:rPr>
        <w:t>В частности Заявитель указывает на следующие пункты запроса разъяснений которых, по мнению Заявителя, даны ненадлежащим образом:</w:t>
      </w:r>
    </w:p>
    <w:p>
      <w:pPr>
        <w:pStyle w:val="Style11"/>
        <w:keepNext w:val="0"/>
        <w:keepLines w:val="0"/>
        <w:widowControl w:val="0"/>
        <w:numPr>
          <w:ilvl w:val="0"/>
          <w:numId w:val="1"/>
        </w:numPr>
        <w:shd w:val="clear" w:color="auto" w:fill="auto"/>
        <w:tabs>
          <w:tab w:pos="1471" w:val="left"/>
        </w:tabs>
        <w:bidi w:val="0"/>
        <w:spacing w:before="0" w:after="0"/>
        <w:ind w:left="0" w:right="0" w:firstLine="740"/>
        <w:jc w:val="both"/>
      </w:pPr>
      <w:r>
        <w:rPr>
          <w:rStyle w:val="CharStyle12"/>
          <w:i/>
          <w:iCs/>
          <w:lang w:val="en-US" w:eastAsia="en-US"/>
        </w:rPr>
        <w:t xml:space="preserve">«1 </w:t>
      </w:r>
      <w:r>
        <w:rPr>
          <w:rStyle w:val="CharStyle12"/>
          <w:i/>
          <w:iCs/>
        </w:rPr>
        <w:t xml:space="preserve">Пунктом </w:t>
      </w:r>
      <w:r>
        <w:rPr>
          <w:rStyle w:val="CharStyle12"/>
          <w:i/>
          <w:iCs/>
          <w:lang w:val="en-US" w:eastAsia="en-US"/>
        </w:rPr>
        <w:t xml:space="preserve">2.10 </w:t>
      </w:r>
      <w:r>
        <w:rPr>
          <w:rStyle w:val="CharStyle12"/>
          <w:i/>
          <w:iCs/>
        </w:rPr>
        <w:t>Технического задания предусмотрено, что «в</w:t>
      </w:r>
    </w:p>
    <w:p>
      <w:pPr>
        <w:pStyle w:val="Style11"/>
        <w:keepNext w:val="0"/>
        <w:keepLines w:val="0"/>
        <w:widowControl w:val="0"/>
        <w:shd w:val="clear" w:color="auto" w:fill="auto"/>
        <w:bidi w:val="0"/>
        <w:spacing w:before="0" w:after="0"/>
        <w:ind w:left="0" w:right="0" w:firstLine="0"/>
        <w:jc w:val="both"/>
      </w:pPr>
      <w:r>
        <w:rPr>
          <w:rStyle w:val="CharStyle12"/>
          <w:i/>
          <w:iCs/>
        </w:rPr>
        <w:t xml:space="preserve">течение </w:t>
      </w:r>
      <w:r>
        <w:rPr>
          <w:rStyle w:val="CharStyle12"/>
          <w:i/>
          <w:iCs/>
          <w:lang w:val="en-US" w:eastAsia="en-US"/>
        </w:rPr>
        <w:t xml:space="preserve">3 </w:t>
      </w:r>
      <w:r>
        <w:rPr>
          <w:rStyle w:val="CharStyle12"/>
          <w:i/>
          <w:iCs/>
        </w:rPr>
        <w:t>(трех) рабочих дней с даты заключения Контракта Подрядчик предоставляет на утверждение Заказчику образцы материалов, планируемых к применению при производстве каждого вида работ»;</w:t>
      </w:r>
    </w:p>
    <w:p>
      <w:pPr>
        <w:pStyle w:val="Style11"/>
        <w:keepNext w:val="0"/>
        <w:keepLines w:val="0"/>
        <w:widowControl w:val="0"/>
        <w:shd w:val="clear" w:color="auto" w:fill="auto"/>
        <w:bidi w:val="0"/>
        <w:spacing w:before="0" w:after="0"/>
        <w:ind w:left="0" w:right="0" w:firstLine="740"/>
        <w:jc w:val="both"/>
      </w:pPr>
      <w:r>
        <w:rPr>
          <w:rStyle w:val="CharStyle12"/>
          <w:i/>
          <w:iCs/>
        </w:rPr>
        <w:t>Означает ли это, что Подрядчик должен представить на согласование Заказчику все материалы, указанные в сметах или только те, которые в сметах отмечены фразой «по согласованию с заказчиком»? Как быть с материалами, которые делаются на заказ более 3-х дней?»;</w:t>
      </w:r>
    </w:p>
    <w:p>
      <w:pPr>
        <w:pStyle w:val="Style11"/>
        <w:keepNext w:val="0"/>
        <w:keepLines w:val="0"/>
        <w:widowControl w:val="0"/>
        <w:numPr>
          <w:ilvl w:val="0"/>
          <w:numId w:val="1"/>
        </w:numPr>
        <w:shd w:val="clear" w:color="auto" w:fill="auto"/>
        <w:tabs>
          <w:tab w:pos="1471" w:val="left"/>
        </w:tabs>
        <w:bidi w:val="0"/>
        <w:spacing w:before="0" w:after="0"/>
        <w:ind w:left="0" w:right="0" w:firstLine="740"/>
        <w:jc w:val="both"/>
      </w:pPr>
      <w:r>
        <w:rPr>
          <w:rStyle w:val="CharStyle12"/>
          <w:i/>
          <w:iCs/>
          <w:lang w:val="en-US" w:eastAsia="en-US"/>
        </w:rPr>
        <w:t xml:space="preserve">«2 </w:t>
      </w:r>
      <w:r>
        <w:rPr>
          <w:rStyle w:val="CharStyle12"/>
          <w:i/>
          <w:iCs/>
        </w:rPr>
        <w:t xml:space="preserve">Пунктом </w:t>
      </w:r>
      <w:r>
        <w:rPr>
          <w:rStyle w:val="CharStyle12"/>
          <w:i/>
          <w:iCs/>
          <w:lang w:val="en-US" w:eastAsia="en-US"/>
        </w:rPr>
        <w:t xml:space="preserve">3.1 </w:t>
      </w:r>
      <w:r>
        <w:rPr>
          <w:rStyle w:val="CharStyle12"/>
          <w:i/>
          <w:iCs/>
        </w:rPr>
        <w:t>Технического задания предусмотрено выполнение</w:t>
      </w:r>
    </w:p>
    <w:p>
      <w:pPr>
        <w:pStyle w:val="Style11"/>
        <w:keepNext w:val="0"/>
        <w:keepLines w:val="0"/>
        <w:widowControl w:val="0"/>
        <w:shd w:val="clear" w:color="auto" w:fill="auto"/>
        <w:bidi w:val="0"/>
        <w:spacing w:before="0" w:after="0"/>
        <w:ind w:left="0" w:right="0" w:firstLine="0"/>
        <w:jc w:val="both"/>
      </w:pPr>
      <w:r>
        <w:rPr>
          <w:rStyle w:val="CharStyle12"/>
          <w:i/>
          <w:iCs/>
        </w:rPr>
        <w:t xml:space="preserve">работ в соответствии с Приложением </w:t>
      </w:r>
      <w:r>
        <w:rPr>
          <w:rStyle w:val="CharStyle12"/>
          <w:i/>
          <w:iCs/>
          <w:lang w:val="en-US" w:eastAsia="en-US"/>
        </w:rPr>
        <w:t xml:space="preserve">3 </w:t>
      </w:r>
      <w:r>
        <w:rPr>
          <w:rStyle w:val="CharStyle12"/>
          <w:i/>
          <w:iCs/>
        </w:rPr>
        <w:t>«Сметная документация». При этом в смете на ремонт отопления указано, что она разработана «по проекту». При текущем ремонте у Заказчика нет обязанности разрабатывать проектную документацию в соответствии с требованиями Градостроительного Кодекса, но если проектная документация существует, то почему она не опубликована в составе документов аукциона, чтобы участники закупки могли с ней ознакомиться? Или Заказчик будет пытаться вручить ее после аукциона победителю закупки как сюрприз?</w:t>
      </w:r>
    </w:p>
    <w:p>
      <w:pPr>
        <w:pStyle w:val="Style11"/>
        <w:keepNext w:val="0"/>
        <w:keepLines w:val="0"/>
        <w:widowControl w:val="0"/>
        <w:shd w:val="clear" w:color="auto" w:fill="auto"/>
        <w:bidi w:val="0"/>
        <w:spacing w:before="0" w:after="0"/>
        <w:ind w:left="0" w:right="0" w:firstLine="740"/>
        <w:jc w:val="both"/>
      </w:pPr>
      <w:r>
        <w:rPr>
          <w:rStyle w:val="CharStyle12"/>
          <w:i/>
          <w:iCs/>
        </w:rPr>
        <w:t>Требуем опубликования проектной документации на основе которой разработаны сметы если они существуют!»;</w:t>
      </w:r>
    </w:p>
    <w:p>
      <w:pPr>
        <w:pStyle w:val="Style11"/>
        <w:keepNext w:val="0"/>
        <w:keepLines w:val="0"/>
        <w:widowControl w:val="0"/>
        <w:numPr>
          <w:ilvl w:val="0"/>
          <w:numId w:val="1"/>
        </w:numPr>
        <w:shd w:val="clear" w:color="auto" w:fill="auto"/>
        <w:tabs>
          <w:tab w:pos="1471" w:val="left"/>
        </w:tabs>
        <w:bidi w:val="0"/>
        <w:spacing w:before="0" w:after="0"/>
        <w:ind w:left="0" w:right="0" w:firstLine="740"/>
        <w:jc w:val="both"/>
      </w:pPr>
      <w:r>
        <w:rPr>
          <w:rStyle w:val="CharStyle12"/>
          <w:i/>
          <w:iCs/>
          <w:lang w:val="en-US" w:eastAsia="en-US"/>
        </w:rPr>
        <w:t xml:space="preserve">«3 </w:t>
      </w:r>
      <w:r>
        <w:rPr>
          <w:rStyle w:val="CharStyle12"/>
          <w:i/>
          <w:iCs/>
        </w:rPr>
        <w:t>В локальной смете на общестроительные работы</w:t>
      </w:r>
    </w:p>
    <w:p>
      <w:pPr>
        <w:pStyle w:val="Style11"/>
        <w:keepNext w:val="0"/>
        <w:keepLines w:val="0"/>
        <w:widowControl w:val="0"/>
        <w:shd w:val="clear" w:color="auto" w:fill="auto"/>
        <w:bidi w:val="0"/>
        <w:spacing w:before="0" w:after="300" w:line="276" w:lineRule="auto"/>
        <w:ind w:left="0" w:right="0" w:firstLine="0"/>
        <w:jc w:val="both"/>
        <w:rPr>
          <w:sz w:val="24"/>
          <w:szCs w:val="24"/>
        </w:rPr>
        <w:sectPr>
          <w:headerReference w:type="default" r:id="rId10"/>
          <w:footerReference w:type="default" r:id="rId11"/>
          <w:footnotePr>
            <w:pos w:val="pageBottom"/>
            <w:numFmt w:val="decimal"/>
            <w:numRestart w:val="continuous"/>
          </w:footnotePr>
          <w:pgSz w:w="11900" w:h="16840"/>
          <w:pgMar w:top="889" w:right="556" w:bottom="491" w:left="1073" w:header="0" w:footer="63" w:gutter="0"/>
          <w:cols w:space="720"/>
          <w:noEndnote/>
          <w:rtlGutter w:val="0"/>
          <w:docGrid w:linePitch="360"/>
        </w:sectPr>
      </w:pPr>
      <w:r>
        <w:rPr>
          <w:rStyle w:val="CharStyle12"/>
          <w:i/>
          <w:iCs/>
        </w:rPr>
        <w:t xml:space="preserve">присутствуют работы уже выполненные и не подлежащие повторному выполнению (например, некоторые работы по демонтажу). Это обнаружено при осмотре помещений. Пунктом </w:t>
      </w:r>
      <w:r>
        <w:rPr>
          <w:rStyle w:val="CharStyle12"/>
          <w:i/>
          <w:iCs/>
          <w:lang w:val="en-US" w:eastAsia="en-US"/>
        </w:rPr>
        <w:t xml:space="preserve">2.7.2. </w:t>
      </w:r>
      <w:r>
        <w:rPr>
          <w:rStyle w:val="CharStyle12"/>
          <w:i/>
          <w:iCs/>
        </w:rPr>
        <w:t xml:space="preserve">проекта Контракта предусмотрена оплата работ по факту объема выполненных Подрядчиком работ. То есть, работы, ранее выполненные до заключения данного Контракта оплачиваться не будут. То есть, сумма Контракта заведомо будет уменьшена по независящим от Подрядчика причинам, а именно по причине указания в составе смет изначально </w:t>
      </w:r>
      <w:r>
        <w:rPr>
          <w:rStyle w:val="CharStyle12"/>
          <w:sz w:val="24"/>
          <w:szCs w:val="24"/>
          <w:lang w:val="en-US" w:eastAsia="en-US"/>
        </w:rPr>
        <w:t>2025-41102</w:t>
      </w:r>
    </w:p>
    <w:p>
      <w:pPr>
        <w:pStyle w:val="Style11"/>
        <w:keepNext w:val="0"/>
        <w:keepLines w:val="0"/>
        <w:widowControl w:val="0"/>
        <w:shd w:val="clear" w:color="auto" w:fill="auto"/>
        <w:bidi w:val="0"/>
        <w:spacing w:before="0" w:after="0"/>
        <w:ind w:left="0" w:right="0" w:firstLine="0"/>
        <w:jc w:val="both"/>
      </w:pPr>
      <w:r>
        <w:rPr>
          <w:rStyle w:val="CharStyle12"/>
          <w:i/>
          <w:iCs/>
        </w:rPr>
        <w:t>несуществующих работ.</w:t>
      </w:r>
    </w:p>
    <w:p>
      <w:pPr>
        <w:pStyle w:val="Style11"/>
        <w:keepNext w:val="0"/>
        <w:keepLines w:val="0"/>
        <w:widowControl w:val="0"/>
        <w:shd w:val="clear" w:color="auto" w:fill="auto"/>
        <w:bidi w:val="0"/>
        <w:spacing w:before="0" w:after="0"/>
        <w:ind w:left="1260" w:right="0" w:firstLine="0"/>
        <w:jc w:val="both"/>
      </w:pPr>
      <w:r>
        <w:rPr>
          <w:rStyle w:val="CharStyle12"/>
          <w:i/>
          <w:iCs/>
        </w:rPr>
        <w:t>Просим прокомментировать данное обстоятельство.»;</w:t>
      </w:r>
    </w:p>
    <w:p>
      <w:pPr>
        <w:pStyle w:val="Style11"/>
        <w:keepNext w:val="0"/>
        <w:keepLines w:val="0"/>
        <w:widowControl w:val="0"/>
        <w:numPr>
          <w:ilvl w:val="0"/>
          <w:numId w:val="1"/>
        </w:numPr>
        <w:shd w:val="clear" w:color="auto" w:fill="auto"/>
        <w:tabs>
          <w:tab w:pos="1450" w:val="left"/>
        </w:tabs>
        <w:bidi w:val="0"/>
        <w:spacing w:before="0" w:after="0"/>
        <w:ind w:left="0" w:right="0" w:firstLine="720"/>
        <w:jc w:val="both"/>
      </w:pPr>
      <w:r>
        <w:rPr>
          <w:rStyle w:val="CharStyle12"/>
          <w:i/>
          <w:iCs/>
          <w:lang w:val="en-US" w:eastAsia="en-US"/>
        </w:rPr>
        <w:t xml:space="preserve">«4 </w:t>
      </w:r>
      <w:r>
        <w:rPr>
          <w:rStyle w:val="CharStyle12"/>
          <w:i/>
          <w:iCs/>
        </w:rPr>
        <w:t>В локальной смете на общестроительные работы указана</w:t>
      </w:r>
    </w:p>
    <w:p>
      <w:pPr>
        <w:pStyle w:val="Style11"/>
        <w:keepNext w:val="0"/>
        <w:keepLines w:val="0"/>
        <w:widowControl w:val="0"/>
        <w:shd w:val="clear" w:color="auto" w:fill="auto"/>
        <w:bidi w:val="0"/>
        <w:spacing w:before="0" w:after="0"/>
        <w:ind w:left="0" w:right="0" w:firstLine="0"/>
        <w:jc w:val="both"/>
      </w:pPr>
      <w:r>
        <w:rPr>
          <w:rStyle w:val="CharStyle12"/>
          <w:i/>
          <w:iCs/>
        </w:rPr>
        <w:t xml:space="preserve">разборка цементных покрытий толщиной </w:t>
      </w:r>
      <w:r>
        <w:rPr>
          <w:rStyle w:val="CharStyle12"/>
          <w:i/>
          <w:iCs/>
          <w:lang w:val="en-US" w:eastAsia="en-US"/>
        </w:rPr>
        <w:t xml:space="preserve">30 </w:t>
      </w:r>
      <w:r>
        <w:rPr>
          <w:rStyle w:val="CharStyle12"/>
          <w:i/>
          <w:iCs/>
        </w:rPr>
        <w:t xml:space="preserve">мм! В ходе осмотра помещений обнаружено, что существующие цементно-песчаные стяжки в помещениях от </w:t>
      </w:r>
      <w:r>
        <w:rPr>
          <w:rStyle w:val="CharStyle12"/>
          <w:i/>
          <w:iCs/>
          <w:lang w:val="en-US" w:eastAsia="en-US"/>
        </w:rPr>
        <w:t xml:space="preserve">60 </w:t>
      </w:r>
      <w:r>
        <w:rPr>
          <w:rStyle w:val="CharStyle12"/>
          <w:i/>
          <w:iCs/>
        </w:rPr>
        <w:t xml:space="preserve">до </w:t>
      </w:r>
      <w:r>
        <w:rPr>
          <w:rStyle w:val="CharStyle12"/>
          <w:i/>
          <w:iCs/>
          <w:lang w:val="en-US" w:eastAsia="en-US"/>
        </w:rPr>
        <w:t xml:space="preserve">110 </w:t>
      </w:r>
      <w:r>
        <w:rPr>
          <w:rStyle w:val="CharStyle12"/>
          <w:i/>
          <w:iCs/>
        </w:rPr>
        <w:t>мм.</w:t>
      </w:r>
    </w:p>
    <w:p>
      <w:pPr>
        <w:pStyle w:val="Style11"/>
        <w:keepNext w:val="0"/>
        <w:keepLines w:val="0"/>
        <w:widowControl w:val="0"/>
        <w:shd w:val="clear" w:color="auto" w:fill="auto"/>
        <w:bidi w:val="0"/>
        <w:spacing w:before="0" w:after="0"/>
        <w:ind w:left="0" w:right="0" w:firstLine="720"/>
        <w:jc w:val="both"/>
      </w:pPr>
      <w:r>
        <w:rPr>
          <w:rStyle w:val="CharStyle12"/>
          <w:i/>
          <w:iCs/>
        </w:rPr>
        <w:t xml:space="preserve">Нигде нет стяжек </w:t>
      </w:r>
      <w:r>
        <w:rPr>
          <w:rStyle w:val="CharStyle12"/>
          <w:i/>
          <w:iCs/>
          <w:lang w:val="en-US" w:eastAsia="en-US"/>
        </w:rPr>
        <w:t xml:space="preserve">30 </w:t>
      </w:r>
      <w:r>
        <w:rPr>
          <w:rStyle w:val="CharStyle12"/>
          <w:i/>
          <w:iCs/>
        </w:rPr>
        <w:t xml:space="preserve">мм! Это можно проверить Заказчику до начала публикации документации по закупке элементарными промерами, так как все напольные покрытия уже демонтированы. То есть, в случае подписания Контракта трудоемкость работ по демонтажу стяжек увеличится в разы, так как частичное (послойное) ее удаление невозможно, значительно увеличится объем вывоза и утилизации мусора. Кроме этого, после демонтажа по смете должна быть выполнена стяжка толщиной </w:t>
      </w:r>
      <w:r>
        <w:rPr>
          <w:rStyle w:val="CharStyle12"/>
          <w:i/>
          <w:iCs/>
          <w:lang w:val="en-US" w:eastAsia="en-US"/>
        </w:rPr>
        <w:t xml:space="preserve">40 </w:t>
      </w:r>
      <w:r>
        <w:rPr>
          <w:rStyle w:val="CharStyle12"/>
          <w:i/>
          <w:iCs/>
        </w:rPr>
        <w:t xml:space="preserve">мм и наливной пол </w:t>
      </w:r>
      <w:r>
        <w:rPr>
          <w:rStyle w:val="CharStyle12"/>
          <w:i/>
          <w:iCs/>
          <w:lang w:val="en-US" w:eastAsia="en-US"/>
        </w:rPr>
        <w:t xml:space="preserve">5 </w:t>
      </w:r>
      <w:r>
        <w:rPr>
          <w:rStyle w:val="CharStyle12"/>
          <w:i/>
          <w:iCs/>
        </w:rPr>
        <w:t xml:space="preserve">мм, всего </w:t>
      </w:r>
      <w:r>
        <w:rPr>
          <w:rStyle w:val="CharStyle12"/>
          <w:i/>
          <w:iCs/>
          <w:lang w:val="en-US" w:eastAsia="en-US"/>
        </w:rPr>
        <w:t xml:space="preserve">45 </w:t>
      </w:r>
      <w:r>
        <w:rPr>
          <w:rStyle w:val="CharStyle12"/>
          <w:i/>
          <w:iCs/>
        </w:rPr>
        <w:t xml:space="preserve">мм. То есть, если демонтаж стяжки будет выполнен на глубину от </w:t>
      </w:r>
      <w:r>
        <w:rPr>
          <w:rStyle w:val="CharStyle12"/>
          <w:i/>
          <w:iCs/>
          <w:lang w:val="en-US" w:eastAsia="en-US"/>
        </w:rPr>
        <w:t xml:space="preserve">60 </w:t>
      </w:r>
      <w:r>
        <w:rPr>
          <w:rStyle w:val="CharStyle12"/>
          <w:i/>
          <w:iCs/>
        </w:rPr>
        <w:t xml:space="preserve">до </w:t>
      </w:r>
      <w:r>
        <w:rPr>
          <w:rStyle w:val="CharStyle12"/>
          <w:i/>
          <w:iCs/>
          <w:lang w:val="en-US" w:eastAsia="en-US"/>
        </w:rPr>
        <w:t xml:space="preserve">110 </w:t>
      </w:r>
      <w:r>
        <w:rPr>
          <w:rStyle w:val="CharStyle12"/>
          <w:i/>
          <w:iCs/>
        </w:rPr>
        <w:t xml:space="preserve">мм, то за счет каких средств будет выполнен недостающий слой новой стяжки от </w:t>
      </w:r>
      <w:r>
        <w:rPr>
          <w:rStyle w:val="CharStyle12"/>
          <w:i/>
          <w:iCs/>
          <w:lang w:val="en-US" w:eastAsia="en-US"/>
        </w:rPr>
        <w:t xml:space="preserve">15 </w:t>
      </w:r>
      <w:r>
        <w:rPr>
          <w:rStyle w:val="CharStyle12"/>
          <w:i/>
          <w:iCs/>
        </w:rPr>
        <w:t xml:space="preserve">до </w:t>
      </w:r>
      <w:r>
        <w:rPr>
          <w:rStyle w:val="CharStyle12"/>
          <w:i/>
          <w:iCs/>
          <w:lang w:val="en-US" w:eastAsia="en-US"/>
        </w:rPr>
        <w:t xml:space="preserve">65 </w:t>
      </w:r>
      <w:r>
        <w:rPr>
          <w:rStyle w:val="CharStyle12"/>
          <w:i/>
          <w:iCs/>
        </w:rPr>
        <w:t>мм? Или полы предполагаются в разных уровнях в нарушение строительных норм?</w:t>
      </w:r>
    </w:p>
    <w:p>
      <w:pPr>
        <w:pStyle w:val="Style11"/>
        <w:keepNext w:val="0"/>
        <w:keepLines w:val="0"/>
        <w:widowControl w:val="0"/>
        <w:shd w:val="clear" w:color="auto" w:fill="auto"/>
        <w:bidi w:val="0"/>
        <w:spacing w:before="0" w:after="0"/>
        <w:ind w:left="0" w:right="0" w:firstLine="720"/>
        <w:jc w:val="both"/>
      </w:pPr>
      <w:r>
        <w:rPr>
          <w:rStyle w:val="CharStyle12"/>
          <w:i/>
          <w:iCs/>
        </w:rPr>
        <w:t>Просим разъяснить почему и для чего Заказчиком публикуется заведомо ложная информация?</w:t>
      </w:r>
    </w:p>
    <w:p>
      <w:pPr>
        <w:pStyle w:val="Style11"/>
        <w:keepNext w:val="0"/>
        <w:keepLines w:val="0"/>
        <w:widowControl w:val="0"/>
        <w:shd w:val="clear" w:color="auto" w:fill="auto"/>
        <w:bidi w:val="0"/>
        <w:spacing w:before="0" w:after="0"/>
        <w:ind w:left="0" w:right="0" w:firstLine="720"/>
        <w:jc w:val="both"/>
      </w:pPr>
      <w:r>
        <w:rPr>
          <w:rStyle w:val="CharStyle12"/>
          <w:i/>
          <w:iCs/>
        </w:rPr>
        <w:t>Требуем внесения изменений в сметную документацию, отображающие реальный объем выполняемых работ на Объекте!»;</w:t>
      </w:r>
    </w:p>
    <w:p>
      <w:pPr>
        <w:pStyle w:val="Style11"/>
        <w:keepNext w:val="0"/>
        <w:keepLines w:val="0"/>
        <w:widowControl w:val="0"/>
        <w:numPr>
          <w:ilvl w:val="0"/>
          <w:numId w:val="1"/>
        </w:numPr>
        <w:shd w:val="clear" w:color="auto" w:fill="auto"/>
        <w:tabs>
          <w:tab w:pos="1450" w:val="left"/>
        </w:tabs>
        <w:bidi w:val="0"/>
        <w:spacing w:before="0" w:after="0"/>
        <w:ind w:left="0" w:right="0" w:firstLine="720"/>
        <w:jc w:val="both"/>
      </w:pPr>
      <w:r>
        <w:rPr>
          <w:rStyle w:val="CharStyle12"/>
          <w:i/>
          <w:iCs/>
          <w:lang w:val="en-US" w:eastAsia="en-US"/>
        </w:rPr>
        <w:t xml:space="preserve">«5 </w:t>
      </w:r>
      <w:r>
        <w:rPr>
          <w:rStyle w:val="CharStyle12"/>
          <w:i/>
          <w:iCs/>
        </w:rPr>
        <w:t xml:space="preserve">Пунктом </w:t>
      </w:r>
      <w:r>
        <w:rPr>
          <w:rStyle w:val="CharStyle12"/>
          <w:i/>
          <w:iCs/>
          <w:lang w:val="en-US" w:eastAsia="en-US"/>
        </w:rPr>
        <w:t xml:space="preserve">372 </w:t>
      </w:r>
      <w:r>
        <w:rPr>
          <w:rStyle w:val="CharStyle12"/>
          <w:i/>
          <w:iCs/>
        </w:rPr>
        <w:t>Сметы на общестроительные работы</w:t>
      </w:r>
    </w:p>
    <w:p>
      <w:pPr>
        <w:pStyle w:val="Style11"/>
        <w:keepNext w:val="0"/>
        <w:keepLines w:val="0"/>
        <w:widowControl w:val="0"/>
        <w:shd w:val="clear" w:color="auto" w:fill="auto"/>
        <w:bidi w:val="0"/>
        <w:spacing w:before="0" w:after="0"/>
        <w:ind w:left="0" w:right="0" w:firstLine="0"/>
        <w:jc w:val="both"/>
      </w:pPr>
      <w:r>
        <w:rPr>
          <w:rStyle w:val="CharStyle12"/>
          <w:i/>
          <w:iCs/>
        </w:rPr>
        <w:t xml:space="preserve">предусмотрен «монтаж перильного ограждения лестничных маршей из нержавеющей стали </w:t>
      </w:r>
      <w:r>
        <w:rPr>
          <w:rStyle w:val="CharStyle12"/>
          <w:i/>
          <w:iCs/>
          <w:lang w:val="en-US" w:eastAsia="en-US"/>
        </w:rPr>
        <w:t xml:space="preserve">– </w:t>
      </w:r>
      <w:r>
        <w:rPr>
          <w:rStyle w:val="CharStyle12"/>
          <w:i/>
          <w:iCs/>
        </w:rPr>
        <w:t xml:space="preserve">с дополнительным поручнем, с вертикальным заполнением «частокол» </w:t>
      </w:r>
      <w:r>
        <w:rPr>
          <w:rStyle w:val="CharStyle12"/>
          <w:i/>
          <w:iCs/>
          <w:lang w:val="en-US" w:eastAsia="en-US"/>
        </w:rPr>
        <w:t xml:space="preserve">8 </w:t>
      </w:r>
      <w:r>
        <w:rPr>
          <w:rStyle w:val="CharStyle12"/>
          <w:i/>
          <w:iCs/>
        </w:rPr>
        <w:t xml:space="preserve">погонных метров. При этом, согласно смете, должны быть применены трубы электросварные из коррозионностойкой стали марки </w:t>
      </w:r>
      <w:r>
        <w:rPr>
          <w:rStyle w:val="CharStyle12"/>
          <w:i/>
          <w:iCs/>
          <w:lang w:val="en-US" w:eastAsia="en-US"/>
        </w:rPr>
        <w:t xml:space="preserve">AISI 201, </w:t>
      </w:r>
      <w:r>
        <w:rPr>
          <w:rStyle w:val="CharStyle12"/>
          <w:i/>
          <w:iCs/>
        </w:rPr>
        <w:t xml:space="preserve">полированные, наружный диаметр </w:t>
      </w:r>
      <w:r>
        <w:rPr>
          <w:rStyle w:val="CharStyle12"/>
          <w:i/>
          <w:iCs/>
          <w:lang w:val="en-US" w:eastAsia="en-US"/>
        </w:rPr>
        <w:t xml:space="preserve">38,1 </w:t>
      </w:r>
      <w:r>
        <w:rPr>
          <w:rStyle w:val="CharStyle12"/>
          <w:i/>
          <w:iCs/>
        </w:rPr>
        <w:t xml:space="preserve">мм, толщина стенки </w:t>
      </w:r>
      <w:r>
        <w:rPr>
          <w:rStyle w:val="CharStyle12"/>
          <w:i/>
          <w:iCs/>
          <w:lang w:val="en-US" w:eastAsia="en-US"/>
        </w:rPr>
        <w:t xml:space="preserve">1,2 </w:t>
      </w:r>
      <w:r>
        <w:rPr>
          <w:rStyle w:val="CharStyle12"/>
          <w:i/>
          <w:iCs/>
        </w:rPr>
        <w:t xml:space="preserve">мм в количестве </w:t>
      </w:r>
      <w:r>
        <w:rPr>
          <w:rStyle w:val="CharStyle12"/>
          <w:i/>
          <w:iCs/>
          <w:lang w:val="en-US" w:eastAsia="en-US"/>
        </w:rPr>
        <w:t xml:space="preserve">33,6 </w:t>
      </w:r>
      <w:r>
        <w:rPr>
          <w:rStyle w:val="CharStyle12"/>
          <w:i/>
          <w:iCs/>
        </w:rPr>
        <w:t xml:space="preserve">м.п. и наружный диаметр </w:t>
      </w:r>
      <w:r>
        <w:rPr>
          <w:rStyle w:val="CharStyle12"/>
          <w:i/>
          <w:iCs/>
          <w:lang w:val="en-US" w:eastAsia="en-US"/>
        </w:rPr>
        <w:t xml:space="preserve">16 </w:t>
      </w:r>
      <w:r>
        <w:rPr>
          <w:rStyle w:val="CharStyle12"/>
          <w:i/>
          <w:iCs/>
        </w:rPr>
        <w:t xml:space="preserve">мм, толщина стенки </w:t>
      </w:r>
      <w:r>
        <w:rPr>
          <w:rStyle w:val="CharStyle12"/>
          <w:i/>
          <w:iCs/>
          <w:lang w:val="en-US" w:eastAsia="en-US"/>
        </w:rPr>
        <w:t xml:space="preserve">1,2 </w:t>
      </w:r>
      <w:r>
        <w:rPr>
          <w:rStyle w:val="CharStyle12"/>
          <w:i/>
          <w:iCs/>
        </w:rPr>
        <w:t xml:space="preserve">мм в количестве </w:t>
      </w:r>
      <w:r>
        <w:rPr>
          <w:rStyle w:val="CharStyle12"/>
          <w:i/>
          <w:iCs/>
          <w:lang w:val="en-US" w:eastAsia="en-US"/>
        </w:rPr>
        <w:t xml:space="preserve">105,6 </w:t>
      </w:r>
      <w:r>
        <w:rPr>
          <w:rStyle w:val="CharStyle12"/>
          <w:i/>
          <w:iCs/>
        </w:rPr>
        <w:t>м.п.</w:t>
      </w:r>
    </w:p>
    <w:p>
      <w:pPr>
        <w:pStyle w:val="Style11"/>
        <w:keepNext w:val="0"/>
        <w:keepLines w:val="0"/>
        <w:widowControl w:val="0"/>
        <w:shd w:val="clear" w:color="auto" w:fill="auto"/>
        <w:bidi w:val="0"/>
        <w:spacing w:before="0" w:after="0"/>
        <w:ind w:left="0" w:right="0" w:firstLine="720"/>
        <w:jc w:val="both"/>
      </w:pPr>
      <w:r>
        <w:rPr>
          <w:rStyle w:val="CharStyle12"/>
          <w:i/>
          <w:iCs/>
        </w:rPr>
        <w:t>Просим дать эскиз ограждения с размерами для понимания возможности изготовления данной конструкции и ее себестоимости.»;</w:t>
      </w:r>
    </w:p>
    <w:p>
      <w:pPr>
        <w:pStyle w:val="Style11"/>
        <w:keepNext w:val="0"/>
        <w:keepLines w:val="0"/>
        <w:widowControl w:val="0"/>
        <w:numPr>
          <w:ilvl w:val="0"/>
          <w:numId w:val="1"/>
        </w:numPr>
        <w:shd w:val="clear" w:color="auto" w:fill="auto"/>
        <w:tabs>
          <w:tab w:pos="1450" w:val="left"/>
        </w:tabs>
        <w:bidi w:val="0"/>
        <w:spacing w:before="0" w:after="0"/>
        <w:ind w:left="0" w:right="0" w:firstLine="720"/>
        <w:jc w:val="both"/>
      </w:pPr>
      <w:r>
        <w:rPr>
          <w:rStyle w:val="CharStyle12"/>
          <w:i/>
          <w:iCs/>
          <w:lang w:val="en-US" w:eastAsia="en-US"/>
        </w:rPr>
        <w:t xml:space="preserve">«6 </w:t>
      </w:r>
      <w:r>
        <w:rPr>
          <w:rStyle w:val="CharStyle12"/>
          <w:i/>
          <w:iCs/>
        </w:rPr>
        <w:t xml:space="preserve">Пунктом </w:t>
      </w:r>
      <w:r>
        <w:rPr>
          <w:rStyle w:val="CharStyle12"/>
          <w:i/>
          <w:iCs/>
          <w:lang w:val="en-US" w:eastAsia="en-US"/>
        </w:rPr>
        <w:t xml:space="preserve">368 </w:t>
      </w:r>
      <w:r>
        <w:rPr>
          <w:rStyle w:val="CharStyle12"/>
          <w:i/>
          <w:iCs/>
        </w:rPr>
        <w:t>Сметы на общестроительные работы</w:t>
      </w:r>
    </w:p>
    <w:p>
      <w:pPr>
        <w:pStyle w:val="Style11"/>
        <w:keepNext w:val="0"/>
        <w:keepLines w:val="0"/>
        <w:widowControl w:val="0"/>
        <w:shd w:val="clear" w:color="auto" w:fill="auto"/>
        <w:bidi w:val="0"/>
        <w:spacing w:before="0" w:after="0"/>
        <w:ind w:left="0" w:right="0" w:firstLine="0"/>
        <w:jc w:val="both"/>
      </w:pPr>
      <w:r>
        <w:rPr>
          <w:rStyle w:val="CharStyle12"/>
          <w:i/>
          <w:iCs/>
        </w:rPr>
        <w:t xml:space="preserve">предусмотрена сборка лестниц с перилами и площадок с маршами с забежными ступенями (без стоимости деталей лестниц) при монтаже сцены в количестве </w:t>
      </w:r>
      <w:r>
        <w:rPr>
          <w:rStyle w:val="CharStyle12"/>
          <w:i/>
          <w:iCs/>
          <w:lang w:val="en-US" w:eastAsia="en-US"/>
        </w:rPr>
        <w:t xml:space="preserve">0,38 </w:t>
      </w:r>
      <w:r>
        <w:rPr>
          <w:rStyle w:val="CharStyle12"/>
          <w:i/>
          <w:iCs/>
        </w:rPr>
        <w:t xml:space="preserve">м2. При этом должны быть применены некие опорные стойки в количестве </w:t>
      </w:r>
      <w:r>
        <w:rPr>
          <w:rStyle w:val="CharStyle12"/>
          <w:i/>
          <w:iCs/>
          <w:lang w:val="en-US" w:eastAsia="en-US"/>
        </w:rPr>
        <w:t xml:space="preserve">0,38 </w:t>
      </w:r>
      <w:r>
        <w:rPr>
          <w:rStyle w:val="CharStyle12"/>
          <w:i/>
          <w:iCs/>
        </w:rPr>
        <w:t xml:space="preserve">т и отдельные конструктивные элементы с преобладанием гнуто сварных профилей и круглых труб, средняя масса сборочных единиц до </w:t>
      </w:r>
      <w:r>
        <w:rPr>
          <w:rStyle w:val="CharStyle12"/>
          <w:i/>
          <w:iCs/>
          <w:lang w:val="en-US" w:eastAsia="en-US"/>
        </w:rPr>
        <w:t xml:space="preserve">0,1 </w:t>
      </w:r>
      <w:r>
        <w:rPr>
          <w:rStyle w:val="CharStyle12"/>
          <w:i/>
          <w:iCs/>
        </w:rPr>
        <w:t xml:space="preserve">т в количестве тоже </w:t>
      </w:r>
      <w:r>
        <w:rPr>
          <w:rStyle w:val="CharStyle12"/>
          <w:i/>
          <w:iCs/>
          <w:lang w:val="en-US" w:eastAsia="en-US"/>
        </w:rPr>
        <w:t xml:space="preserve">0,38 </w:t>
      </w:r>
      <w:r>
        <w:rPr>
          <w:rStyle w:val="CharStyle12"/>
          <w:i/>
          <w:iCs/>
        </w:rPr>
        <w:t xml:space="preserve">т </w:t>
      </w:r>
      <w:r>
        <w:rPr>
          <w:rStyle w:val="CharStyle12"/>
          <w:i/>
          <w:iCs/>
          <w:lang w:val="en-US" w:eastAsia="en-US"/>
        </w:rPr>
        <w:t>(!).</w:t>
      </w:r>
    </w:p>
    <w:p>
      <w:pPr>
        <w:pStyle w:val="Style11"/>
        <w:keepNext w:val="0"/>
        <w:keepLines w:val="0"/>
        <w:widowControl w:val="0"/>
        <w:shd w:val="clear" w:color="auto" w:fill="auto"/>
        <w:bidi w:val="0"/>
        <w:spacing w:before="0" w:after="0"/>
        <w:ind w:left="0" w:right="0" w:firstLine="720"/>
        <w:jc w:val="both"/>
      </w:pPr>
      <w:r>
        <w:rPr>
          <w:rStyle w:val="CharStyle12"/>
          <w:i/>
          <w:iCs/>
        </w:rPr>
        <w:t>Просим дать разъяснение по конструктивному решению сцены и лестницы с применением указанного в смете количества материальных ресурсов для возможности расчета ее себестоимости и принятия решения участниками закупки об участии в ней</w:t>
      </w:r>
      <w:r>
        <w:rPr>
          <w:rStyle w:val="CharStyle12"/>
        </w:rPr>
        <w:t>».</w:t>
      </w:r>
    </w:p>
    <w:p>
      <w:pPr>
        <w:pStyle w:val="Style11"/>
        <w:keepNext w:val="0"/>
        <w:keepLines w:val="0"/>
        <w:widowControl w:val="0"/>
        <w:shd w:val="clear" w:color="auto" w:fill="auto"/>
        <w:bidi w:val="0"/>
        <w:spacing w:before="0" w:after="0"/>
        <w:ind w:left="0" w:right="0" w:firstLine="720"/>
        <w:jc w:val="both"/>
      </w:pPr>
      <w:r>
        <w:rPr>
          <w:rStyle w:val="CharStyle12"/>
        </w:rPr>
        <w:t>В силу ч.5 ст.42 Закона о контрактной системе любой участник закупки, зарегистрированный в единой информационной системе, вправе направить с</w:t>
      </w:r>
    </w:p>
    <w:p>
      <w:pPr>
        <w:pStyle w:val="Style11"/>
        <w:keepNext w:val="0"/>
        <w:keepLines w:val="0"/>
        <w:widowControl w:val="0"/>
        <w:shd w:val="clear" w:color="auto" w:fill="auto"/>
        <w:bidi w:val="0"/>
        <w:spacing w:before="0" w:after="0"/>
        <w:ind w:left="0" w:right="0" w:firstLine="0"/>
        <w:jc w:val="both"/>
      </w:pPr>
      <w:r>
        <w:rPr>
          <w:rStyle w:val="CharStyle12"/>
        </w:rPr>
        <w:t>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Комиссией Управления установлено, что </w:t>
      </w:r>
      <w:r>
        <w:rPr>
          <w:rStyle w:val="CharStyle12"/>
          <w:lang w:val="en-US" w:eastAsia="en-US"/>
        </w:rPr>
        <w:t xml:space="preserve">28.08.2025 </w:t>
      </w:r>
      <w:r>
        <w:rPr>
          <w:rStyle w:val="CharStyle12"/>
        </w:rPr>
        <w:t>Заказчиком в составе извещения размещены в том числе следующие разъяснения положений извещения об осуществлении закупки от №РИ1:</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pPr>
      <w:r>
        <w:rPr>
          <w:rStyle w:val="CharStyle12"/>
          <w:i/>
          <w:iCs/>
          <w:lang w:val="en-US" w:eastAsia="en-US"/>
        </w:rPr>
        <w:t xml:space="preserve">«1. </w:t>
      </w:r>
      <w:r>
        <w:rPr>
          <w:rStyle w:val="CharStyle12"/>
          <w:i/>
          <w:iCs/>
        </w:rPr>
        <w:t xml:space="preserve">О представлении образцов материалов (п. </w:t>
      </w:r>
      <w:r>
        <w:rPr>
          <w:rStyle w:val="CharStyle12"/>
          <w:i/>
          <w:iCs/>
          <w:lang w:val="en-US" w:eastAsia="en-US"/>
        </w:rPr>
        <w:t xml:space="preserve">2.10 </w:t>
      </w:r>
      <w:r>
        <w:rPr>
          <w:rStyle w:val="CharStyle12"/>
          <w:i/>
          <w:iCs/>
        </w:rPr>
        <w:t xml:space="preserve">Технического задания). Подрядчик обязан предоставить на согласование образцы материалов, фактически применяемых при производстве работ. Фраза «по согласованию заказчиком» уточняет отдельные позиции, но не исключает общей обязанности предоставлять образцы. В случае изготовления материалов дольше трёх рабочих дней допускается представление каталогов, сертификатов и аналогов, с последующим согласованием окончательных образцов (Основание: ч. </w:t>
      </w:r>
      <w:r>
        <w:rPr>
          <w:rStyle w:val="CharStyle12"/>
          <w:i/>
          <w:iCs/>
          <w:lang w:val="en-US" w:eastAsia="en-US"/>
        </w:rPr>
        <w:t xml:space="preserve">1 </w:t>
      </w:r>
      <w:r>
        <w:rPr>
          <w:rStyle w:val="CharStyle12"/>
          <w:i/>
          <w:iCs/>
        </w:rPr>
        <w:t xml:space="preserve">ст. </w:t>
      </w:r>
      <w:r>
        <w:rPr>
          <w:rStyle w:val="CharStyle12"/>
          <w:i/>
          <w:iCs/>
          <w:lang w:val="en-US" w:eastAsia="en-US"/>
        </w:rPr>
        <w:t xml:space="preserve">33 </w:t>
      </w:r>
      <w:r>
        <w:rPr>
          <w:rStyle w:val="CharStyle12"/>
          <w:i/>
          <w:iCs/>
        </w:rPr>
        <w:t xml:space="preserve">Федерального закона от </w:t>
      </w:r>
      <w:r>
        <w:rPr>
          <w:rStyle w:val="CharStyle12"/>
          <w:i/>
          <w:iCs/>
          <w:lang w:val="en-US" w:eastAsia="en-US"/>
        </w:rPr>
        <w:t xml:space="preserve">05.04.2013 № </w:t>
      </w:r>
      <w:r>
        <w:rPr>
          <w:rStyle w:val="CharStyle12"/>
          <w:i/>
          <w:iCs/>
        </w:rPr>
        <w:t>44-ФЗ)»;</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pPr>
      <w:r>
        <w:rPr>
          <w:rStyle w:val="CharStyle12"/>
          <w:i/>
          <w:iCs/>
          <w:lang w:val="en-US" w:eastAsia="en-US"/>
        </w:rPr>
        <w:t xml:space="preserve">«2. </w:t>
      </w:r>
      <w:r>
        <w:rPr>
          <w:rStyle w:val="CharStyle12"/>
          <w:i/>
          <w:iCs/>
        </w:rPr>
        <w:t xml:space="preserve">По проектной документации (смета на ремонт отопления). В соответствии со ст. </w:t>
      </w:r>
      <w:r>
        <w:rPr>
          <w:rStyle w:val="CharStyle12"/>
          <w:i/>
          <w:iCs/>
          <w:lang w:val="en-US" w:eastAsia="en-US"/>
        </w:rPr>
        <w:t xml:space="preserve">48 </w:t>
      </w:r>
      <w:r>
        <w:rPr>
          <w:rStyle w:val="CharStyle12"/>
          <w:i/>
          <w:iCs/>
        </w:rPr>
        <w:t>Градостроительного кодекса РФ при выполнении текущего ремонта разработка проектной документации не требуется. Локальные сметы составлены по результатам обследования объекта Дополнительная проектная документация для публикации отсутствует»;</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pPr>
      <w:r>
        <w:rPr>
          <w:rStyle w:val="CharStyle12"/>
          <w:i/>
          <w:iCs/>
          <w:lang w:val="en-US" w:eastAsia="en-US"/>
        </w:rPr>
        <w:t xml:space="preserve">«3. </w:t>
      </w:r>
      <w:r>
        <w:rPr>
          <w:rStyle w:val="CharStyle12"/>
          <w:i/>
          <w:iCs/>
        </w:rPr>
        <w:t>О несоответствиях в локальных сметах (толщина стяжки, выполненные ранее работы). В целях определения фактического состояния объекта и обоснования сметной документации специализированной экспертной организацией, привлеченной на основании договора, был осуществлен комплексный технический осмотр объекта По результатам проведенного обследования составлена дефектная ведомость, содержащая детальный перечень выявленных недостатков, их количественные и качественные характеристики, а также рекомендации по устранению. Дефектная ведомость оформлена в соответствии установленными требованиями и является основанием для формирования сметной документации. На основании составленной дефектной ведомости и в соответствии с действующими методиками определения сметной стоимости работ разработана сметная документация, отражающая полный объем необходимых работ и затрат на их выполнение. Оплата выполненных работ осуществляется исключительно за фактически выполненный и принятый</w:t>
      </w:r>
    </w:p>
    <w:p>
      <w:pPr>
        <w:pStyle w:val="Style11"/>
        <w:keepNext w:val="0"/>
        <w:keepLines w:val="0"/>
        <w:widowControl w:val="0"/>
        <w:shd w:val="clear" w:color="auto" w:fill="auto"/>
        <w:bidi w:val="0"/>
        <w:spacing w:before="0" w:after="0"/>
        <w:ind w:left="0" w:right="0" w:firstLine="0"/>
        <w:jc w:val="both"/>
      </w:pPr>
      <w:r>
        <w:rPr>
          <w:rStyle w:val="CharStyle12"/>
          <w:i/>
          <w:iCs/>
        </w:rPr>
        <w:t xml:space="preserve">Заказчиком объем работ в соответствии с пунктом </w:t>
      </w:r>
      <w:r>
        <w:rPr>
          <w:rStyle w:val="CharStyle12"/>
          <w:i/>
          <w:iCs/>
          <w:lang w:val="en-US" w:eastAsia="en-US"/>
        </w:rPr>
        <w:t xml:space="preserve">2.7.2 </w:t>
      </w:r>
      <w:r>
        <w:rPr>
          <w:rStyle w:val="CharStyle12"/>
          <w:i/>
          <w:iCs/>
        </w:rPr>
        <w:t xml:space="preserve">проекта контракта и положениями части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94 </w:t>
      </w:r>
      <w:r>
        <w:rPr>
          <w:rStyle w:val="CharStyle12"/>
          <w:i/>
          <w:iCs/>
        </w:rPr>
        <w:t xml:space="preserve">Федерального закона от </w:t>
      </w:r>
      <w:r>
        <w:rPr>
          <w:rStyle w:val="CharStyle12"/>
          <w:i/>
          <w:iCs/>
          <w:lang w:val="en-US" w:eastAsia="en-US"/>
        </w:rPr>
        <w:t xml:space="preserve">05.04.2013 № </w:t>
      </w:r>
      <w:r>
        <w:rPr>
          <w:rStyle w:val="CharStyle12"/>
          <w:i/>
          <w:iCs/>
        </w:rPr>
        <w:t>44-ФЗ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pPr>
      <w:r>
        <w:rPr>
          <w:rStyle w:val="CharStyle12"/>
          <w:i/>
          <w:iCs/>
          <w:lang w:val="en-US" w:eastAsia="en-US"/>
        </w:rPr>
        <w:t xml:space="preserve">«4. </w:t>
      </w:r>
      <w:r>
        <w:rPr>
          <w:rStyle w:val="CharStyle12"/>
          <w:i/>
          <w:iCs/>
        </w:rPr>
        <w:t xml:space="preserve">В период осуществления подготовки и проведения конкурентной процедуры определения поставщика/подрядчика/исполнителя фактов посещения здания Заказчика, расположенного по адресу: г. Москва, ул. Винокурова, д. 3А, представителями сторонних организаций не зафиксировано. На основании п. </w:t>
      </w:r>
      <w:r>
        <w:rPr>
          <w:rStyle w:val="CharStyle12"/>
          <w:i/>
          <w:iCs/>
          <w:lang w:val="en-US" w:eastAsia="en-US"/>
        </w:rPr>
        <w:t xml:space="preserve">2 </w:t>
      </w:r>
      <w:r>
        <w:rPr>
          <w:rStyle w:val="CharStyle12"/>
          <w:i/>
          <w:iCs/>
        </w:rPr>
        <w:t xml:space="preserve">ч. </w:t>
      </w:r>
      <w:r>
        <w:rPr>
          <w:rStyle w:val="CharStyle12"/>
          <w:i/>
          <w:iCs/>
          <w:lang w:val="en-US" w:eastAsia="en-US"/>
        </w:rPr>
        <w:t xml:space="preserve">1 </w:t>
      </w:r>
      <w:r>
        <w:rPr>
          <w:rStyle w:val="CharStyle12"/>
          <w:i/>
          <w:iCs/>
        </w:rPr>
        <w:t xml:space="preserve">ст. </w:t>
      </w:r>
      <w:r>
        <w:rPr>
          <w:rStyle w:val="CharStyle12"/>
          <w:i/>
          <w:iCs/>
          <w:lang w:val="en-US" w:eastAsia="en-US"/>
        </w:rPr>
        <w:t xml:space="preserve">17 </w:t>
      </w:r>
      <w:r>
        <w:rPr>
          <w:rStyle w:val="CharStyle12"/>
          <w:i/>
          <w:iCs/>
        </w:rPr>
        <w:t xml:space="preserve">Федерального закона от </w:t>
      </w:r>
      <w:r>
        <w:rPr>
          <w:rStyle w:val="CharStyle12"/>
          <w:i/>
          <w:iCs/>
          <w:lang w:val="en-US" w:eastAsia="en-US"/>
        </w:rPr>
        <w:t xml:space="preserve">26.07.2006 № </w:t>
      </w:r>
      <w:r>
        <w:rPr>
          <w:rStyle w:val="CharStyle12"/>
          <w:i/>
          <w:iCs/>
        </w:rPr>
        <w:t xml:space="preserve">135-ФЗ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том числе создание участнику торгов или нескольким участникам торгов преимущественных условий участия в торгах, в том числе путем доступа к информации, если иное не установлено указанным федеральным законом. При применении конкурентных способов определения поставщика (подрядчика, исполнителя)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Законом о контрактной системе (ч. </w:t>
      </w:r>
      <w:r>
        <w:rPr>
          <w:rStyle w:val="CharStyle12"/>
          <w:i/>
          <w:iCs/>
          <w:lang w:val="en-US" w:eastAsia="en-US"/>
        </w:rPr>
        <w:t xml:space="preserve">1 </w:t>
      </w:r>
      <w:r>
        <w:rPr>
          <w:rStyle w:val="CharStyle12"/>
          <w:i/>
          <w:iCs/>
        </w:rPr>
        <w:t xml:space="preserve">ст. </w:t>
      </w:r>
      <w:r>
        <w:rPr>
          <w:rStyle w:val="CharStyle12"/>
          <w:i/>
          <w:iCs/>
          <w:lang w:val="en-US" w:eastAsia="en-US"/>
        </w:rPr>
        <w:t xml:space="preserve">46 </w:t>
      </w:r>
      <w:r>
        <w:rPr>
          <w:rStyle w:val="CharStyle12"/>
          <w:i/>
          <w:iCs/>
        </w:rPr>
        <w:t xml:space="preserve">Закона о контрактной системе). Резюмируя указанные выше доводы, ввиду возможного необоснованного создания преференций (преимуществ), ограничения конкуренции и с целью создания равных условий для всех участников торгов, визуальный (фактический) осмотр объекта до момента заключения контракта невозможен. При формировании сметной документации расценка на выполнение работ по разборке цементных покрытий толщиной </w:t>
      </w:r>
      <w:r>
        <w:rPr>
          <w:rStyle w:val="CharStyle12"/>
          <w:i/>
          <w:iCs/>
          <w:lang w:val="en-US" w:eastAsia="en-US"/>
        </w:rPr>
        <w:t xml:space="preserve">30 </w:t>
      </w:r>
      <w:r>
        <w:rPr>
          <w:rStyle w:val="CharStyle12"/>
          <w:i/>
          <w:iCs/>
        </w:rPr>
        <w:t>миллиметров была определена на основании фактических измерений объекта и зафиксированных в ходе обследования параметров конструкций.»;</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sectPr>
          <w:headerReference w:type="default" r:id="rId12"/>
          <w:footerReference w:type="default" r:id="rId13"/>
          <w:footnotePr>
            <w:pos w:val="pageBottom"/>
            <w:numFmt w:val="decimal"/>
            <w:numRestart w:val="continuous"/>
          </w:footnotePr>
          <w:pgSz w:w="11900" w:h="16840"/>
          <w:pgMar w:top="870" w:right="559" w:bottom="1019" w:left="1073" w:header="0" w:footer="3" w:gutter="0"/>
          <w:cols w:space="720"/>
          <w:noEndnote/>
          <w:rtlGutter w:val="0"/>
          <w:docGrid w:linePitch="360"/>
        </w:sectPr>
      </w:pPr>
      <w:r>
        <w:rPr>
          <w:rStyle w:val="CharStyle12"/>
          <w:i/>
          <w:iCs/>
          <w:lang w:val="en-US" w:eastAsia="en-US"/>
        </w:rPr>
        <w:t xml:space="preserve">«5. </w:t>
      </w:r>
      <w:r>
        <w:rPr>
          <w:rStyle w:val="CharStyle12"/>
          <w:i/>
          <w:iCs/>
        </w:rPr>
        <w:t xml:space="preserve">О перильных ограждениях (п. </w:t>
      </w:r>
      <w:r>
        <w:rPr>
          <w:rStyle w:val="CharStyle12"/>
          <w:i/>
          <w:iCs/>
          <w:lang w:val="en-US" w:eastAsia="en-US"/>
        </w:rPr>
        <w:t xml:space="preserve">372 </w:t>
      </w:r>
      <w:r>
        <w:rPr>
          <w:rStyle w:val="CharStyle12"/>
          <w:i/>
          <w:iCs/>
        </w:rPr>
        <w:t xml:space="preserve">сметы). Конструктивное решение приведено в смете. Шифр стоимостного норматива </w:t>
      </w:r>
      <w:r>
        <w:rPr>
          <w:rStyle w:val="CharStyle12"/>
          <w:i/>
          <w:iCs/>
          <w:lang w:val="en-US" w:eastAsia="en-US"/>
        </w:rPr>
        <w:t xml:space="preserve">1.9-3203-7-2/1 </w:t>
      </w:r>
      <w:r>
        <w:rPr>
          <w:rStyle w:val="CharStyle12"/>
          <w:i/>
          <w:iCs/>
        </w:rPr>
        <w:t xml:space="preserve">Монтаж перильного ограждения лестничных маршей из нержавеющей стали </w:t>
      </w:r>
      <w:r>
        <w:rPr>
          <w:rStyle w:val="CharStyle12"/>
          <w:i/>
          <w:iCs/>
          <w:lang w:val="en-US" w:eastAsia="en-US"/>
        </w:rPr>
        <w:t xml:space="preserve">- </w:t>
      </w:r>
      <w:r>
        <w:rPr>
          <w:rStyle w:val="CharStyle12"/>
          <w:i/>
          <w:iCs/>
        </w:rPr>
        <w:t xml:space="preserve">с дополнительным поручнем, с вертикальным заполнением «частокол». Объем данной расценки рассчитывается в погонных метрах, данный объем представлен в сметной документации Определенная расценка включает в себя состав работ, а также нормативные ресурсы и материалы с объемами разработанные сметной документацией СН-2012. Ресурсная ведомость формируется со сметной документацией публикуемая при аукционе с комплектом документов, участник аукциона может ознакомится с данным объемом материалов рассчитан данной расценкой. Дополнительного эскиза для выполнения данного вида работ не требуется. Дополнительной информацией для ознакомления являются: СП </w:t>
      </w:r>
      <w:r>
        <w:rPr>
          <w:rStyle w:val="CharStyle12"/>
          <w:i/>
          <w:iCs/>
          <w:lang w:val="en-US" w:eastAsia="en-US"/>
        </w:rPr>
        <w:t xml:space="preserve">59.13330.2020 </w:t>
      </w:r>
      <w:r>
        <w:rPr>
          <w:rStyle w:val="CharStyle12"/>
          <w:i/>
          <w:iCs/>
        </w:rPr>
        <w:t xml:space="preserve">для доступной среды, СП </w:t>
      </w:r>
      <w:r>
        <w:rPr>
          <w:rStyle w:val="CharStyle12"/>
          <w:i/>
          <w:iCs/>
          <w:lang w:val="en-US" w:eastAsia="en-US"/>
        </w:rPr>
        <w:t xml:space="preserve">118.13330.2022 </w:t>
      </w:r>
      <w:r>
        <w:rPr>
          <w:rStyle w:val="CharStyle12"/>
          <w:i/>
          <w:iCs/>
        </w:rPr>
        <w:t xml:space="preserve">для общественных зданий, и ГОСТ </w:t>
      </w:r>
      <w:r>
        <w:rPr>
          <w:rStyle w:val="CharStyle12"/>
          <w:i/>
          <w:iCs/>
          <w:lang w:val="en-US" w:eastAsia="en-US"/>
        </w:rPr>
        <w:t xml:space="preserve">25772-83 </w:t>
      </w:r>
      <w:r>
        <w:rPr>
          <w:rStyle w:val="CharStyle12"/>
          <w:i/>
          <w:iCs/>
        </w:rPr>
        <w:t xml:space="preserve">и ГОСТ Р </w:t>
      </w:r>
      <w:r>
        <w:rPr>
          <w:rStyle w:val="CharStyle12"/>
          <w:i/>
          <w:iCs/>
          <w:lang w:val="en-US" w:eastAsia="en-US"/>
        </w:rPr>
        <w:t xml:space="preserve">51261-99 </w:t>
      </w:r>
      <w:r>
        <w:rPr>
          <w:rStyle w:val="CharStyle12"/>
          <w:i/>
          <w:iCs/>
        </w:rPr>
        <w:t xml:space="preserve">Состав работ </w:t>
      </w:r>
      <w:r>
        <w:rPr>
          <w:rStyle w:val="CharStyle12"/>
          <w:i/>
          <w:iCs/>
          <w:lang w:val="en-US" w:eastAsia="en-US"/>
        </w:rPr>
        <w:t xml:space="preserve">9-3203-7-2/1 </w:t>
      </w:r>
      <w:r>
        <w:rPr>
          <w:rStyle w:val="CharStyle12"/>
          <w:i/>
          <w:iCs/>
        </w:rPr>
        <w:t>Монтаж перильного ограждения лестничных маршей из нержавеющей стали дополнительным поручнем, с вертикальным заполнением «частокол» (рис.1)</w:t>
      </w:r>
    </w:p>
    <w:p>
      <w:pPr>
        <w:pStyle w:val="Style11"/>
        <w:keepNext w:val="0"/>
        <w:keepLines w:val="0"/>
        <w:widowControl w:val="0"/>
        <w:shd w:val="clear" w:color="auto" w:fill="auto"/>
        <w:bidi w:val="0"/>
        <w:spacing w:before="0" w:after="0"/>
        <w:ind w:left="0" w:right="0" w:firstLine="0"/>
        <w:jc w:val="both"/>
      </w:pPr>
      <w:r>
        <w:rPr>
          <w:rStyle w:val="CharStyle12"/>
          <w:i/>
          <w:iCs/>
        </w:rPr>
        <w:t xml:space="preserve">Нормативные ресурсы </w:t>
      </w:r>
      <w:r>
        <w:rPr>
          <w:rStyle w:val="CharStyle12"/>
          <w:i/>
          <w:iCs/>
          <w:lang w:val="en-US" w:eastAsia="en-US"/>
        </w:rPr>
        <w:t xml:space="preserve">9-3203-7-2/1 </w:t>
      </w:r>
      <w:r>
        <w:rPr>
          <w:rStyle w:val="CharStyle12"/>
          <w:i/>
          <w:iCs/>
        </w:rPr>
        <w:t xml:space="preserve">Монтаж перильного ограждения лестничных маршей из нержавеющей стали </w:t>
      </w:r>
      <w:r>
        <w:rPr>
          <w:rStyle w:val="CharStyle12"/>
          <w:i/>
          <w:iCs/>
          <w:lang w:val="en-US" w:eastAsia="en-US"/>
        </w:rPr>
        <w:t xml:space="preserve">— </w:t>
      </w:r>
      <w:r>
        <w:rPr>
          <w:rStyle w:val="CharStyle12"/>
          <w:i/>
          <w:iCs/>
        </w:rPr>
        <w:t>с дополнительным поручнем, с вертикальным заполнением «частокол» (рис.2)»;</w:t>
      </w:r>
    </w:p>
    <w:p>
      <w:pPr>
        <w:pStyle w:val="Style11"/>
        <w:keepNext w:val="0"/>
        <w:keepLines w:val="0"/>
        <w:widowControl w:val="0"/>
        <w:numPr>
          <w:ilvl w:val="0"/>
          <w:numId w:val="1"/>
        </w:numPr>
        <w:shd w:val="clear" w:color="auto" w:fill="auto"/>
        <w:tabs>
          <w:tab w:pos="922" w:val="left"/>
        </w:tabs>
        <w:bidi w:val="0"/>
        <w:spacing w:before="0" w:after="0"/>
        <w:ind w:left="0" w:right="0" w:firstLine="720"/>
        <w:jc w:val="both"/>
      </w:pPr>
      <w:r>
        <w:rPr>
          <w:rStyle w:val="CharStyle12"/>
          <w:i/>
          <w:iCs/>
          <w:lang w:val="en-US" w:eastAsia="en-US"/>
        </w:rPr>
        <w:t xml:space="preserve">«6. O </w:t>
      </w:r>
      <w:r>
        <w:rPr>
          <w:rStyle w:val="CharStyle12"/>
          <w:i/>
          <w:iCs/>
        </w:rPr>
        <w:t xml:space="preserve">сцене и лестницах (п. </w:t>
      </w:r>
      <w:r>
        <w:rPr>
          <w:rStyle w:val="CharStyle12"/>
          <w:i/>
          <w:iCs/>
          <w:lang w:val="en-US" w:eastAsia="en-US"/>
        </w:rPr>
        <w:t xml:space="preserve">368 </w:t>
      </w:r>
      <w:r>
        <w:rPr>
          <w:rStyle w:val="CharStyle12"/>
          <w:i/>
          <w:iCs/>
        </w:rPr>
        <w:t xml:space="preserve">сметы). Конструктивные решения определены сметной документацией. Шифр стоимостного норматива </w:t>
      </w:r>
      <w:r>
        <w:rPr>
          <w:rStyle w:val="CharStyle12"/>
          <w:i/>
          <w:iCs/>
          <w:lang w:val="en-US" w:eastAsia="en-US"/>
        </w:rPr>
        <w:t>1.9-3303-2</w:t>
        <w:softHyphen/>
        <w:t xml:space="preserve">2/1 </w:t>
      </w:r>
      <w:r>
        <w:rPr>
          <w:rStyle w:val="CharStyle12"/>
          <w:i/>
          <w:iCs/>
        </w:rPr>
        <w:t>Сборка лестниц с перилами и площадок с маршами с забежными ступенями (без стоимости деталей лестниц) Объем материалов рассчитан согласно площади и объемов изготавливаемых элементов, место установки и крепления опорных стоек и место расположения лестницы определено Заказчиком. Данный объем материала, рассчитанный для изготовления и монтажа изделий соответствует действительности. Дополнительного эскиза для выполнения работ не требуется».</w:t>
      </w:r>
    </w:p>
    <w:p>
      <w:pPr>
        <w:pStyle w:val="Style11"/>
        <w:keepNext w:val="0"/>
        <w:keepLines w:val="0"/>
        <w:widowControl w:val="0"/>
        <w:shd w:val="clear" w:color="auto" w:fill="auto"/>
        <w:bidi w:val="0"/>
        <w:spacing w:before="0" w:after="0"/>
        <w:ind w:left="0" w:right="0" w:firstLine="72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20"/>
        <w:jc w:val="both"/>
      </w:pPr>
      <w:r>
        <w:rPr>
          <w:rStyle w:val="CharStyle12"/>
        </w:rPr>
        <w:t>На заседании Комиссии Управления представитель Заказчика пояснил, что разъяснения положений извещения об осуществлении закупки размещены Заказчиком надлежащим образом в соответствии поданным запросом.</w:t>
      </w:r>
    </w:p>
    <w:p>
      <w:pPr>
        <w:pStyle w:val="Style11"/>
        <w:keepNext w:val="0"/>
        <w:keepLines w:val="0"/>
        <w:widowControl w:val="0"/>
        <w:shd w:val="clear" w:color="auto" w:fill="auto"/>
        <w:bidi w:val="0"/>
        <w:spacing w:before="0" w:after="0"/>
        <w:ind w:left="0" w:right="0" w:firstLine="720"/>
        <w:jc w:val="both"/>
      </w:pPr>
      <w:r>
        <w:rPr>
          <w:rStyle w:val="CharStyle12"/>
        </w:rPr>
        <w:t>Вместе с этим, рассмотрев вышеуказанные разъяснения положений извещения, Комиссия Управления приходит к выводу, что данные разъяснения не противоречат ч.5 ст.42 Закона о контрактной системе, в связи с чем у Комиссии Управления отсутствуют правовые основания для признания Заказчика нарушившим положения Закона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426" w:val="left"/>
        </w:tabs>
        <w:bidi w:val="0"/>
        <w:spacing w:before="0" w:after="0"/>
        <w:ind w:left="0" w:right="0" w:firstLine="720"/>
        <w:jc w:val="both"/>
      </w:pPr>
      <w:r>
        <w:rPr>
          <w:rStyle w:val="CharStyle12"/>
        </w:rPr>
        <w:t xml:space="preserve">Также в составе жалобы Заявитель указывает, что в </w:t>
      </w:r>
      <w:r>
        <w:rPr>
          <w:rStyle w:val="CharStyle12"/>
          <w:lang w:val="en-US" w:eastAsia="en-US"/>
        </w:rPr>
        <w:t xml:space="preserve">2.10 </w:t>
      </w:r>
      <w:r>
        <w:rPr>
          <w:rStyle w:val="CharStyle12"/>
        </w:rPr>
        <w:t>описания объекта закупки установлено неисполнимое требование о необходимости предоставляет на утверждение Заказчику образцов материалов, планируемых к применению при производстве каждого вида работ в течении трех дней с даты заключения контракта.</w:t>
      </w:r>
    </w:p>
    <w:p>
      <w:pPr>
        <w:pStyle w:val="Style11"/>
        <w:keepNext w:val="0"/>
        <w:keepLines w:val="0"/>
        <w:widowControl w:val="0"/>
        <w:shd w:val="clear" w:color="auto" w:fill="auto"/>
        <w:bidi w:val="0"/>
        <w:spacing w:before="0" w:after="0"/>
        <w:ind w:left="0" w:right="0" w:firstLine="72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71" w:lineRule="auto"/>
        <w:ind w:left="0" w:right="0" w:firstLine="720"/>
        <w:jc w:val="both"/>
        <w:rPr>
          <w:sz w:val="24"/>
          <w:szCs w:val="24"/>
        </w:rPr>
        <w:sectPr>
          <w:headerReference w:type="default" r:id="rId14"/>
          <w:footerReference w:type="default" r:id="rId15"/>
          <w:footnotePr>
            <w:pos w:val="pageBottom"/>
            <w:numFmt w:val="decimal"/>
            <w:numRestart w:val="continuous"/>
          </w:footnotePr>
          <w:pgSz w:w="11900" w:h="16840"/>
          <w:pgMar w:top="894" w:right="546" w:bottom="496" w:left="1073" w:header="0" w:footer="68" w:gutter="0"/>
          <w:cols w:space="720"/>
          <w:noEndnote/>
          <w:rtlGutter w:val="0"/>
          <w:docGrid w:linePitch="360"/>
        </w:sectPr>
      </w:pPr>
      <w:r>
        <w:rPr>
          <w:rStyle w:val="CharStyle12"/>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Pr>
          <w:rStyle w:val="CharStyle12"/>
          <w:sz w:val="24"/>
          <w:szCs w:val="24"/>
          <w:lang w:val="en-US" w:eastAsia="en-US"/>
        </w:rPr>
        <w:t>2025-41102</w:t>
      </w:r>
    </w:p>
    <w:p>
      <w:pPr>
        <w:pStyle w:val="Style11"/>
        <w:keepNext w:val="0"/>
        <w:keepLines w:val="0"/>
        <w:widowControl w:val="0"/>
        <w:shd w:val="clear" w:color="auto" w:fill="auto"/>
        <w:bidi w:val="0"/>
        <w:spacing w:before="0" w:after="40"/>
        <w:ind w:left="0" w:right="0" w:firstLine="0"/>
        <w:jc w:val="both"/>
      </w:pPr>
      <w:r>
        <w:rPr>
          <w:rStyle w:val="CharStyle12"/>
        </w:rPr>
        <w:t>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определено, что в описании объекта закупки Заказчиком установлено в том числе следующее требование: </w:t>
      </w:r>
      <w:r>
        <w:rPr>
          <w:rStyle w:val="CharStyle12"/>
          <w:lang w:val="en-US" w:eastAsia="en-US"/>
        </w:rPr>
        <w:t xml:space="preserve">«2.10 </w:t>
      </w:r>
      <w:r>
        <w:rPr>
          <w:rStyle w:val="CharStyle12"/>
        </w:rPr>
        <w:t xml:space="preserve">В течение </w:t>
      </w:r>
      <w:r>
        <w:rPr>
          <w:rStyle w:val="CharStyle12"/>
          <w:lang w:val="en-US" w:eastAsia="en-US"/>
        </w:rPr>
        <w:t xml:space="preserve">3 </w:t>
      </w:r>
      <w:r>
        <w:rPr>
          <w:rStyle w:val="CharStyle12"/>
        </w:rPr>
        <w:t>(трех) рабочих дней с даты заключения Контракта Подрядчик предоставляет на утверждение Заказчику образцы материалов, планируемых к применению при производстве каждого вида работ».</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представитель Заказчика пояснил, что в соответствии со спорным требовавшем подрядчик обязан предоставить на согласование образцы материалов, фактически применяемых при производстве работ, при этом допускается представление на согласование образцов материалов посредством представления каталогов, сертификатов, документации на такие материалы.</w:t>
      </w:r>
    </w:p>
    <w:p>
      <w:pPr>
        <w:pStyle w:val="Style11"/>
        <w:keepNext w:val="0"/>
        <w:keepLines w:val="0"/>
        <w:widowControl w:val="0"/>
        <w:shd w:val="clear" w:color="auto" w:fill="auto"/>
        <w:bidi w:val="0"/>
        <w:spacing w:before="0" w:after="0"/>
        <w:ind w:left="0" w:right="0" w:firstLine="700"/>
        <w:jc w:val="both"/>
      </w:pPr>
      <w:r>
        <w:rPr>
          <w:rStyle w:val="CharStyle12"/>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представителем Заявителя, а также в составе жалобы Заявителем, не представлено документов и сведений, подтверждающих доводы жалобы и свидетельствующих о неисполнимости установленного требования,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426" w:val="left"/>
        </w:tabs>
        <w:bidi w:val="0"/>
        <w:spacing w:before="0" w:after="0"/>
        <w:ind w:left="0" w:right="0" w:firstLine="700"/>
        <w:jc w:val="both"/>
      </w:pPr>
      <w:r>
        <w:rPr>
          <w:rStyle w:val="CharStyle12"/>
        </w:rPr>
        <w:t>Также в составе жалобы Заявитель указывает, что в сметной документации представлен раздел «Система отопления по проекту», что свидетельствует о наличии проектной документации на необходимые к выполнению работы, однако проектная документации Заказчиком в составе извещения не размещалась.</w:t>
      </w:r>
    </w:p>
    <w:p>
      <w:pPr>
        <w:pStyle w:val="Style11"/>
        <w:keepNext w:val="0"/>
        <w:keepLines w:val="0"/>
        <w:widowControl w:val="0"/>
        <w:shd w:val="clear" w:color="auto" w:fill="auto"/>
        <w:bidi w:val="0"/>
        <w:spacing w:before="0" w:after="0"/>
        <w:ind w:left="0" w:right="0" w:firstLine="700"/>
        <w:jc w:val="both"/>
      </w:pPr>
      <w:r>
        <w:rPr>
          <w:rStyle w:val="CharStyle12"/>
        </w:rPr>
        <w:t>В обоснование своей позиции Заявитель представил электронный документ, содержащий проект системы отопления для здания по адресу: город Москва, улица Винокурова, дом 3а №119/ЦДТ-2024-ОВ.</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представитель Заказчика пояснил, что сметная документации сформирована Заказчиком по результатам осмотра объекта, при этом проектная документация не формировалась для выполнения необходимых работ.</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определено, что в описании объекта закупки в том числе указано: </w:t>
      </w:r>
      <w:r>
        <w:rPr>
          <w:rStyle w:val="CharStyle12"/>
          <w:lang w:val="en-US" w:eastAsia="en-US"/>
        </w:rPr>
        <w:t xml:space="preserve">«2.1 </w:t>
      </w:r>
      <w:r>
        <w:rPr>
          <w:rStyle w:val="CharStyle12"/>
        </w:rPr>
        <w:t xml:space="preserve">Подрядчик обязан выполнить работы по текущему ремонту (далее </w:t>
      </w:r>
      <w:r>
        <w:rPr>
          <w:rStyle w:val="CharStyle12"/>
          <w:lang w:val="en-US" w:eastAsia="en-US"/>
        </w:rPr>
        <w:t xml:space="preserve">– </w:t>
      </w:r>
      <w:r>
        <w:rPr>
          <w:rStyle w:val="CharStyle12"/>
        </w:rPr>
        <w:t xml:space="preserve">работы) нежилого объекта (далее </w:t>
      </w:r>
      <w:r>
        <w:rPr>
          <w:rStyle w:val="CharStyle12"/>
          <w:lang w:val="en-US" w:eastAsia="en-US"/>
        </w:rPr>
        <w:t xml:space="preserve">– </w:t>
      </w:r>
      <w:r>
        <w:rPr>
          <w:rStyle w:val="CharStyle12"/>
        </w:rPr>
        <w:t xml:space="preserve">объект), в сроки, по адресам и в объеме, установленным в соответствии с Приложением </w:t>
      </w:r>
      <w:r>
        <w:rPr>
          <w:rStyle w:val="CharStyle12"/>
          <w:lang w:val="en-US" w:eastAsia="en-US"/>
        </w:rPr>
        <w:t xml:space="preserve">1 </w:t>
      </w:r>
      <w:r>
        <w:rPr>
          <w:rStyle w:val="CharStyle12"/>
        </w:rPr>
        <w:t xml:space="preserve">«Перечень объектов закупки», Приложением </w:t>
      </w:r>
      <w:r>
        <w:rPr>
          <w:rStyle w:val="CharStyle12"/>
          <w:lang w:val="en-US" w:eastAsia="en-US"/>
        </w:rPr>
        <w:t xml:space="preserve">2 </w:t>
      </w:r>
      <w:r>
        <w:rPr>
          <w:rStyle w:val="CharStyle12"/>
        </w:rPr>
        <w:t xml:space="preserve">«Адресный перечень», Приложением </w:t>
      </w:r>
      <w:r>
        <w:rPr>
          <w:rStyle w:val="CharStyle12"/>
          <w:lang w:val="en-US" w:eastAsia="en-US"/>
        </w:rPr>
        <w:t xml:space="preserve">3 </w:t>
      </w:r>
      <w:r>
        <w:rPr>
          <w:rStyle w:val="CharStyle12"/>
        </w:rPr>
        <w:t xml:space="preserve">«Сметная документация», а также в соответствии с требованиями актов, указанных в разделе </w:t>
      </w:r>
      <w:r>
        <w:rPr>
          <w:rStyle w:val="CharStyle12"/>
          <w:lang w:val="en-US" w:eastAsia="en-US"/>
        </w:rPr>
        <w:t xml:space="preserve">7 </w:t>
      </w:r>
      <w:r>
        <w:rPr>
          <w:rStyle w:val="CharStyle12"/>
        </w:rPr>
        <w:t>настоящего Технического задания и требованиями действующего законодательства».</w:t>
      </w:r>
    </w:p>
    <w:p>
      <w:pPr>
        <w:pStyle w:val="Style11"/>
        <w:keepNext w:val="0"/>
        <w:keepLines w:val="0"/>
        <w:widowControl w:val="0"/>
        <w:shd w:val="clear" w:color="auto" w:fill="auto"/>
        <w:bidi w:val="0"/>
        <w:spacing w:before="0" w:after="0"/>
        <w:ind w:left="0" w:right="0" w:firstLine="700"/>
        <w:jc w:val="both"/>
      </w:pPr>
      <w:r>
        <w:rPr>
          <w:rStyle w:val="CharStyle12"/>
        </w:rPr>
        <w:t>Комиссия Управления отмечает, что в описании объекта закупки указано на необходимость выполнения работ в соответствии со сметной документации, при этом отсутствует требование о необходимости выполнения работ в соответствии с проектной документации, в связи с чем у Заказчика отсутствует обязанность по размещению проектной документации в составе извещения.</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12"/>
        </w:rPr>
        <w:t>Также в составе жалобы Заявитель указывает, что сметная документации составлена неоднозначным образом и содержит сведения, не соответствующие действительности, а также представляет преимущество конкретному участнику закупки.</w:t>
      </w:r>
    </w:p>
    <w:p>
      <w:pPr>
        <w:pStyle w:val="Style11"/>
        <w:keepNext w:val="0"/>
        <w:keepLines w:val="0"/>
        <w:widowControl w:val="0"/>
        <w:shd w:val="clear" w:color="auto" w:fill="auto"/>
        <w:bidi w:val="0"/>
        <w:spacing w:before="0" w:after="0"/>
        <w:ind w:left="0" w:right="0" w:firstLine="700"/>
        <w:jc w:val="both"/>
      </w:pPr>
      <w:r>
        <w:rPr>
          <w:rStyle w:val="CharStyle12"/>
        </w:rPr>
        <w:t>В частности Заявитель указывает следующее:</w:t>
      </w:r>
    </w:p>
    <w:p>
      <w:pPr>
        <w:pStyle w:val="Style11"/>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2"/>
        </w:rPr>
        <w:t>в сметной документации содержится указание на работы, уже фактически выполненные на объекте, например работы по демонтажу напольных покрытий.</w:t>
      </w:r>
    </w:p>
    <w:p>
      <w:pPr>
        <w:pStyle w:val="Style11"/>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2"/>
        </w:rPr>
        <w:t xml:space="preserve">в сметной документации предусмотрены работы по разборке цементных покрытий толщиной </w:t>
      </w:r>
      <w:r>
        <w:rPr>
          <w:rStyle w:val="CharStyle12"/>
          <w:lang w:val="en-US" w:eastAsia="en-US"/>
        </w:rPr>
        <w:t xml:space="preserve">30 </w:t>
      </w:r>
      <w:r>
        <w:rPr>
          <w:rStyle w:val="CharStyle12"/>
        </w:rPr>
        <w:t xml:space="preserve">мм, а также формированию стяжки толщиной </w:t>
      </w:r>
      <w:r>
        <w:rPr>
          <w:rStyle w:val="CharStyle12"/>
          <w:lang w:val="en-US" w:eastAsia="en-US"/>
        </w:rPr>
        <w:t xml:space="preserve">40 </w:t>
      </w:r>
      <w:r>
        <w:rPr>
          <w:rStyle w:val="CharStyle12"/>
        </w:rPr>
        <w:t xml:space="preserve">мм и наливного пола </w:t>
      </w:r>
      <w:r>
        <w:rPr>
          <w:rStyle w:val="CharStyle12"/>
          <w:lang w:val="en-US" w:eastAsia="en-US"/>
        </w:rPr>
        <w:t xml:space="preserve">5 </w:t>
      </w:r>
      <w:r>
        <w:rPr>
          <w:rStyle w:val="CharStyle12"/>
        </w:rPr>
        <w:t xml:space="preserve">мм, в то время как, по мнению Заявителя, что на объекте Заказчика цементные покрытия составляют от </w:t>
      </w:r>
      <w:r>
        <w:rPr>
          <w:rStyle w:val="CharStyle12"/>
          <w:lang w:val="en-US" w:eastAsia="en-US"/>
        </w:rPr>
        <w:t xml:space="preserve">60 </w:t>
      </w:r>
      <w:r>
        <w:rPr>
          <w:rStyle w:val="CharStyle12"/>
        </w:rPr>
        <w:t xml:space="preserve">до </w:t>
      </w:r>
      <w:r>
        <w:rPr>
          <w:rStyle w:val="CharStyle12"/>
          <w:lang w:val="en-US" w:eastAsia="en-US"/>
        </w:rPr>
        <w:t xml:space="preserve">110 </w:t>
      </w:r>
      <w:r>
        <w:rPr>
          <w:rStyle w:val="CharStyle12"/>
        </w:rPr>
        <w:t>см;</w:t>
      </w:r>
    </w:p>
    <w:p>
      <w:pPr>
        <w:pStyle w:val="Style11"/>
        <w:keepNext w:val="0"/>
        <w:keepLines w:val="0"/>
        <w:widowControl w:val="0"/>
        <w:numPr>
          <w:ilvl w:val="0"/>
          <w:numId w:val="5"/>
        </w:numPr>
        <w:shd w:val="clear" w:color="auto" w:fill="auto"/>
        <w:tabs>
          <w:tab w:pos="1418" w:val="left"/>
        </w:tabs>
        <w:bidi w:val="0"/>
        <w:spacing w:before="0" w:after="0"/>
        <w:ind w:left="0" w:right="0" w:firstLine="700"/>
        <w:jc w:val="both"/>
      </w:pPr>
      <w:r>
        <w:rPr>
          <w:rStyle w:val="CharStyle12"/>
        </w:rPr>
        <w:t>в извещении отсутствуют эскизы на выполнение строительно</w:t>
        <w:softHyphen/>
        <w:t xml:space="preserve">монтажных работ по п.368, </w:t>
      </w:r>
      <w:r>
        <w:rPr>
          <w:rStyle w:val="CharStyle12"/>
          <w:lang w:val="en-US" w:eastAsia="en-US"/>
        </w:rPr>
        <w:t xml:space="preserve">372 </w:t>
      </w:r>
      <w:r>
        <w:rPr>
          <w:rStyle w:val="CharStyle12"/>
        </w:rPr>
        <w:t>сметной документации в части сборки лестниц и монтажа перильного ограждения.</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представитель Заказчика пояснил, что сметная документации сформирована Заказчиком по результатам осмотров помещений надлежащим образом в соответствии с потребностью Заказчика в выполнении определенных работ, при этом эскизы для строительно-монтажных работ не формировались Заказчиком и не требуются, информация о необходимых к выполнению работах содержится в сметной документации.</w:t>
      </w:r>
    </w:p>
    <w:p>
      <w:pPr>
        <w:pStyle w:val="Style11"/>
        <w:keepNext w:val="0"/>
        <w:keepLines w:val="0"/>
        <w:widowControl w:val="0"/>
        <w:shd w:val="clear" w:color="auto" w:fill="auto"/>
        <w:bidi w:val="0"/>
        <w:spacing w:before="0" w:after="0"/>
        <w:ind w:left="0" w:right="0" w:firstLine="700"/>
        <w:jc w:val="both"/>
      </w:pPr>
      <w:r>
        <w:rPr>
          <w:rStyle w:val="CharStyle12"/>
        </w:rPr>
        <w:t>Вместе с этим в составе жалобы Заявителем, а также на заседании Комиссии Управления представителем Заявителя, не представлено документов свидетельствующих о невозможности подачи заявки на участие в конкурентной процедуре, об ограничении количества участников закупки, при установлении оспариваемых требований, равно как не представлено доказательств того обстоятельства, что Заказчиком в сметной документации предусмотрены невыполнимые работы, а также нет документального подтверждения указывающего на то, что сформированная Заказчиком сметная документация представляет преимущество конкретному участнику закупки.</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Заявителем не представлено документов и сведений, подтверждающих обоснованность вышеуказанных доводов жалобы, в том числе в части невозможности подготовить заявку на участие в закупочной процедуре при установлении вышеуказанных требований, а также свидетельствующих о нарушении Заказчиком норм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 xml:space="preserve">При этом, согласно протоколу подачи ценовых предложений, на участие в закупке подано </w:t>
      </w:r>
      <w:r>
        <w:rPr>
          <w:rStyle w:val="CharStyle12"/>
          <w:lang w:val="en-US" w:eastAsia="en-US"/>
        </w:rPr>
        <w:t xml:space="preserve">2 </w:t>
      </w:r>
      <w:r>
        <w:rPr>
          <w:rStyle w:val="CharStyle12"/>
        </w:rPr>
        <w:t>заявки на участие в закупке, снижение цены контракта составило</w:t>
      </w:r>
      <w:r>
        <w:br w:type="page"/>
      </w:r>
    </w:p>
    <w:p>
      <w:pPr>
        <w:pStyle w:val="Style11"/>
        <w:keepNext w:val="0"/>
        <w:keepLines w:val="0"/>
        <w:widowControl w:val="0"/>
        <w:shd w:val="clear" w:color="auto" w:fill="auto"/>
        <w:bidi w:val="0"/>
        <w:spacing w:before="0" w:after="0"/>
        <w:ind w:left="0" w:right="0" w:firstLine="0"/>
        <w:jc w:val="both"/>
      </w:pPr>
      <w:r>
        <w:rPr>
          <w:rStyle w:val="CharStyle12"/>
          <w:lang w:val="en-US" w:eastAsia="en-US"/>
        </w:rPr>
        <w:t>15%.</w:t>
      </w:r>
    </w:p>
    <w:p>
      <w:pPr>
        <w:pStyle w:val="Style11"/>
        <w:keepNext w:val="0"/>
        <w:keepLines w:val="0"/>
        <w:widowControl w:val="0"/>
        <w:shd w:val="clear" w:color="auto" w:fill="auto"/>
        <w:bidi w:val="0"/>
        <w:spacing w:before="0" w:after="0"/>
        <w:ind w:left="0" w:right="0" w:firstLine="700"/>
        <w:jc w:val="both"/>
      </w:pPr>
      <w:r>
        <w:rPr>
          <w:rStyle w:val="CharStyle12"/>
        </w:rPr>
        <w:t>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440"/>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ind w:left="0" w:right="0" w:firstLine="0"/>
        <w:jc w:val="center"/>
      </w:pPr>
      <w:r>
        <w:rPr>
          <w:rStyle w:val="CharStyle12"/>
          <w:b/>
          <w:bCs/>
        </w:rPr>
        <w:t>Р Е Ш И Л А:</w:t>
      </w:r>
    </w:p>
    <w:p>
      <w:pPr>
        <w:pStyle w:val="Style11"/>
        <w:keepNext w:val="0"/>
        <w:keepLines w:val="0"/>
        <w:widowControl w:val="0"/>
        <w:numPr>
          <w:ilvl w:val="0"/>
          <w:numId w:val="7"/>
        </w:numPr>
        <w:shd w:val="clear" w:color="auto" w:fill="auto"/>
        <w:tabs>
          <w:tab w:pos="1389" w:val="left"/>
        </w:tabs>
        <w:bidi w:val="0"/>
        <w:spacing w:before="0" w:after="0"/>
        <w:ind w:left="0" w:right="0" w:firstLine="700"/>
        <w:jc w:val="both"/>
      </w:pPr>
      <w:r>
        <w:rPr>
          <w:rStyle w:val="CharStyle12"/>
        </w:rPr>
        <w:t>Признать жалобу ИП Кныр И.А. на действия ГБОУДО ЦДТ</w:t>
      </w:r>
    </w:p>
    <w:p>
      <w:pPr>
        <w:pStyle w:val="Style11"/>
        <w:keepNext w:val="0"/>
        <w:keepLines w:val="0"/>
        <w:widowControl w:val="0"/>
        <w:shd w:val="clear" w:color="auto" w:fill="auto"/>
        <w:bidi w:val="0"/>
        <w:spacing w:before="0" w:after="0"/>
        <w:ind w:left="0" w:right="0" w:firstLine="0"/>
        <w:jc w:val="both"/>
      </w:pPr>
      <w:r>
        <w:rPr>
          <w:rStyle w:val="CharStyle12"/>
        </w:rPr>
        <w:t>Замоскворечье необоснованной.</w:t>
      </w:r>
    </w:p>
    <w:p>
      <w:pPr>
        <w:pStyle w:val="Style11"/>
        <w:keepNext w:val="0"/>
        <w:keepLines w:val="0"/>
        <w:widowControl w:val="0"/>
        <w:numPr>
          <w:ilvl w:val="0"/>
          <w:numId w:val="7"/>
        </w:numPr>
        <w:shd w:val="clear" w:color="auto" w:fill="auto"/>
        <w:tabs>
          <w:tab w:pos="1389" w:val="left"/>
        </w:tabs>
        <w:bidi w:val="0"/>
        <w:spacing w:before="0" w:after="0"/>
        <w:ind w:left="0" w:right="0" w:firstLine="700"/>
        <w:jc w:val="both"/>
      </w:pPr>
      <w:r>
        <w:rPr>
          <w:rStyle w:val="CharStyle12"/>
        </w:rPr>
        <w:t>Снять ограничения, наложенные на определение поставщика</w:t>
      </w:r>
    </w:p>
    <w:p>
      <w:pPr>
        <w:pStyle w:val="Style11"/>
        <w:keepNext w:val="0"/>
        <w:keepLines w:val="0"/>
        <w:widowControl w:val="0"/>
        <w:shd w:val="clear" w:color="auto" w:fill="auto"/>
        <w:bidi w:val="0"/>
        <w:spacing w:before="0" w:after="300"/>
        <w:ind w:left="0" w:right="0" w:firstLine="0"/>
        <w:jc w:val="both"/>
      </w:pPr>
      <w:r>
        <w:rPr>
          <w:rStyle w:val="CharStyle12"/>
        </w:rPr>
        <w:t>(подрядчика, исполнителя).</w:t>
      </w:r>
    </w:p>
    <w:p>
      <w:pPr>
        <w:pStyle w:val="Style11"/>
        <w:keepNext w:val="0"/>
        <w:keepLines w:val="0"/>
        <w:widowControl w:val="0"/>
        <w:shd w:val="clear" w:color="auto" w:fill="auto"/>
        <w:bidi w:val="0"/>
        <w:spacing w:before="0" w:after="0"/>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6"/>
          <w:footerReference w:type="default" r:id="rId17"/>
          <w:footnotePr>
            <w:pos w:val="pageBottom"/>
            <w:numFmt w:val="decimal"/>
            <w:numRestart w:val="continuous"/>
          </w:footnotePr>
          <w:pgSz w:w="11900" w:h="16840"/>
          <w:pgMar w:top="860" w:right="544" w:bottom="1018" w:left="1103" w:header="0" w:footer="3" w:gutter="0"/>
          <w:cols w:space="720"/>
          <w:noEndnote/>
          <w:rtlGutter w:val="0"/>
          <w:docGrid w:linePitch="360"/>
        </w:sectPr>
      </w:pPr>
      <w:r>
        <mc:AlternateContent>
          <mc:Choice Requires="wps">
            <w:drawing>
              <wp:anchor distT="139700" distB="167640" distL="0" distR="0" simplePos="0" relativeHeight="125829379" behindDoc="0" locked="0" layoutInCell="1" allowOverlap="1">
                <wp:simplePos x="0" y="0"/>
                <wp:positionH relativeFrom="page">
                  <wp:posOffset>734060</wp:posOffset>
                </wp:positionH>
                <wp:positionV relativeFrom="paragraph">
                  <wp:posOffset>139700</wp:posOffset>
                </wp:positionV>
                <wp:extent cx="1896110" cy="250190"/>
                <wp:wrapTopAndBottom/>
                <wp:docPr id="18" name="Shape 18"/>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4" type="#_x0000_t202" style="position:absolute;margin-left:57.800000000000004pt;margin-top:11.pt;width:149.30000000000001pt;height:19.699999999999999pt;z-index:-125829374;mso-wrap-distance-left:0;mso-wrap-distance-top:11.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mc:AlternateContent>
          <mc:Choice Requires="wps">
            <w:drawing>
              <wp:anchor distT="298450" distB="0" distL="0" distR="0" simplePos="0" relativeHeight="125829381" behindDoc="0" locked="0" layoutInCell="1" allowOverlap="1">
                <wp:simplePos x="0" y="0"/>
                <wp:positionH relativeFrom="page">
                  <wp:posOffset>3522980</wp:posOffset>
                </wp:positionH>
                <wp:positionV relativeFrom="paragraph">
                  <wp:posOffset>298450</wp:posOffset>
                </wp:positionV>
                <wp:extent cx="1722120" cy="259080"/>
                <wp:wrapTopAndBottom/>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40000000000003pt;margin-top:23.5pt;width:135.59999999999999pt;height:20.400000000000002pt;z-index:-125829372;mso-wrap-distance-left:0;mso-wrap-distance-top:23.5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67640" distL="0" distR="0" simplePos="0" relativeHeight="125829383" behindDoc="0" locked="0" layoutInCell="1" allowOverlap="1">
                <wp:simplePos x="0" y="0"/>
                <wp:positionH relativeFrom="page">
                  <wp:posOffset>6076950</wp:posOffset>
                </wp:positionH>
                <wp:positionV relativeFrom="paragraph">
                  <wp:posOffset>139700</wp:posOffset>
                </wp:positionV>
                <wp:extent cx="1136650" cy="250190"/>
                <wp:wrapTopAndBottom/>
                <wp:docPr id="22" name="Shape 22"/>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wps:txbx>
                      <wps:bodyPr wrap="none" lIns="0" tIns="0" rIns="0" bIns="0">
                        <a:noAutoFit/>
                      </wps:bodyPr>
                    </wps:wsp>
                  </a:graphicData>
                </a:graphic>
              </wp:anchor>
            </w:drawing>
          </mc:Choice>
          <mc:Fallback>
            <w:pict>
              <v:shape id="_x0000_s1048" type="#_x0000_t202" style="position:absolute;margin-left:478.5pt;margin-top:11.pt;width:89.5pt;height:19.699999999999999pt;z-index:-125829370;mso-wrap-distance-left:0;mso-wrap-distance-top:11.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color w:val="000000"/>
          <w:sz w:val="11"/>
          <w:szCs w:val="11"/>
        </w:rPr>
        <w:t>Грешнева Дарья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color w:val="292929"/>
        </w:rPr>
        <w:t xml:space="preserve">Сертификат № </w:t>
      </w:r>
      <w:r>
        <w:rPr>
          <w:rStyle w:val="CharStyle21"/>
          <w:color w:val="5D5D5D"/>
        </w:rPr>
        <w:t>00831</w:t>
      </w:r>
      <w:r>
        <w:rPr>
          <w:rStyle w:val="CharStyle21"/>
          <w:lang w:val="en-US" w:eastAsia="en-US"/>
        </w:rPr>
        <w:t>B7545C61281C4BAB156778A683BFB</w:t>
      </w:r>
    </w:p>
    <w:p>
      <w:pPr>
        <w:pStyle w:val="Style20"/>
        <w:keepNext w:val="0"/>
        <w:keepLines w:val="0"/>
        <w:widowControl w:val="0"/>
        <w:shd w:val="clear" w:color="auto" w:fill="auto"/>
        <w:bidi w:val="0"/>
        <w:spacing w:before="0" w:after="560" w:line="240" w:lineRule="auto"/>
        <w:ind w:right="0" w:firstLine="0"/>
        <w:jc w:val="left"/>
      </w:pPr>
      <w:r>
        <w:rPr>
          <w:rStyle w:val="CharStyle21"/>
        </w:rPr>
        <w:t xml:space="preserve">Действителен с </w:t>
      </w:r>
      <w:r>
        <w:rPr>
          <w:rStyle w:val="CharStyle21"/>
          <w:color w:val="292929"/>
        </w:rPr>
        <w:t xml:space="preserve">17.07.2025 </w:t>
      </w:r>
      <w:r>
        <w:rPr>
          <w:rStyle w:val="CharStyle21"/>
          <w:color w:val="5D5D5D"/>
        </w:rPr>
        <w:t xml:space="preserve">по </w:t>
      </w:r>
      <w:r>
        <w:rPr>
          <w:rStyle w:val="CharStyle21"/>
        </w:rPr>
        <w:t>10.10.2026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90" w:line="240" w:lineRule="auto"/>
        <w:ind w:left="0" w:right="0" w:firstLine="820"/>
        <w:jc w:val="left"/>
      </w:pPr>
      <w:r>
        <w:drawing>
          <wp:anchor distT="0" distB="0" distL="114300" distR="1900555" simplePos="0" relativeHeight="125829385" behindDoc="0" locked="0" layoutInCell="1" allowOverlap="1">
            <wp:simplePos x="0" y="0"/>
            <wp:positionH relativeFrom="page">
              <wp:posOffset>3101975</wp:posOffset>
            </wp:positionH>
            <wp:positionV relativeFrom="paragraph">
              <wp:posOffset>50800</wp:posOffset>
            </wp:positionV>
            <wp:extent cx="359410" cy="408305"/>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8"/>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3522345</wp:posOffset>
                </wp:positionH>
                <wp:positionV relativeFrom="paragraph">
                  <wp:posOffset>148590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35000000000002pt;margin-top:11.700000000000001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66" w:lineRule="auto"/>
        <w:ind w:right="0" w:firstLine="20"/>
        <w:jc w:val="left"/>
      </w:pPr>
      <w:r>
        <w:rPr>
          <w:rStyle w:val="CharStyle21"/>
        </w:rPr>
        <w:t xml:space="preserve">Кому выдан: </w:t>
      </w:r>
      <w:r>
        <w:rPr>
          <w:rStyle w:val="CharStyle21"/>
          <w:color w:val="000000"/>
          <w:sz w:val="11"/>
          <w:szCs w:val="11"/>
        </w:rPr>
        <w:t>Матюшенко Александр Александрович</w:t>
      </w:r>
      <w:r>
        <w:rPr>
          <w:rStyle w:val="CharStyle21"/>
          <w:color w:val="000000"/>
          <w:sz w:val="11"/>
          <w:szCs w:val="11"/>
        </w:rPr>
        <w:t xml:space="preserve"> </w:t>
      </w:r>
      <w:r>
        <w:rPr>
          <w:rStyle w:val="CharStyle21"/>
        </w:rPr>
        <w:t xml:space="preserve">Сертификат </w:t>
      </w:r>
      <w:r>
        <w:rPr>
          <w:rStyle w:val="CharStyle21"/>
          <w:color w:val="292929"/>
        </w:rPr>
        <w:t xml:space="preserve">№ </w:t>
      </w:r>
      <w:r>
        <w:rPr>
          <w:rStyle w:val="CharStyle21"/>
          <w:lang w:val="en-US" w:eastAsia="en-US"/>
        </w:rPr>
        <w:t>4F595A5C3E5ABB2DD77161F08559FC07</w:t>
      </w:r>
    </w:p>
    <w:p>
      <w:pPr>
        <w:pStyle w:val="Style20"/>
        <w:keepNext w:val="0"/>
        <w:keepLines w:val="0"/>
        <w:widowControl w:val="0"/>
        <w:shd w:val="clear" w:color="auto" w:fill="auto"/>
        <w:bidi w:val="0"/>
        <w:spacing w:before="0" w:after="560" w:line="266" w:lineRule="auto"/>
        <w:ind w:right="0" w:firstLine="20"/>
        <w:jc w:val="left"/>
      </w:pPr>
      <w:r>
        <w:rPr>
          <w:rStyle w:val="CharStyle21"/>
        </w:rPr>
        <w:t xml:space="preserve">Действителен с 22.07.2025 </w:t>
      </w:r>
      <w:r>
        <w:rPr>
          <w:rStyle w:val="CharStyle21"/>
          <w:color w:val="5D5D5D"/>
        </w:rPr>
        <w:t xml:space="preserve">по </w:t>
      </w:r>
      <w:r>
        <w:rPr>
          <w:rStyle w:val="CharStyle21"/>
        </w:rPr>
        <w:t>15.10.2026</w:t>
      </w:r>
    </w:p>
    <w:p>
      <w:pPr>
        <w:pStyle w:val="Style11"/>
        <w:keepNext w:val="0"/>
        <w:keepLines w:val="0"/>
        <w:widowControl w:val="0"/>
        <w:shd w:val="clear" w:color="auto" w:fill="auto"/>
        <w:bidi w:val="0"/>
        <w:spacing w:before="0" w:after="390" w:line="240" w:lineRule="auto"/>
        <w:ind w:left="0" w:right="0" w:firstLine="660"/>
        <w:jc w:val="left"/>
      </w:pPr>
      <w:r>
        <w:drawing>
          <wp:anchor distT="0" distB="0" distL="114300" distR="1900555" simplePos="0" relativeHeight="125829386" behindDoc="0" locked="0" layoutInCell="1" allowOverlap="1">
            <wp:simplePos x="0" y="0"/>
            <wp:positionH relativeFrom="page">
              <wp:posOffset>3101975</wp:posOffset>
            </wp:positionH>
            <wp:positionV relativeFrom="paragraph">
              <wp:posOffset>63500</wp:posOffset>
            </wp:positionV>
            <wp:extent cx="359410" cy="39624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0"/>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3522345</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35000000000002pt;margin-top:11.950000000000001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А.И. Рахматуллаев</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color w:val="000000"/>
          <w:sz w:val="11"/>
          <w:szCs w:val="11"/>
        </w:rPr>
        <w:t>Рахматуллаев Алексей Ильич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7AEE97A08C8432425F146F6255A521C3</w:t>
      </w:r>
    </w:p>
    <w:p>
      <w:pPr>
        <w:pStyle w:val="Style20"/>
        <w:keepNext w:val="0"/>
        <w:keepLines w:val="0"/>
        <w:widowControl w:val="0"/>
        <w:shd w:val="clear" w:color="auto" w:fill="auto"/>
        <w:bidi w:val="0"/>
        <w:spacing w:before="0" w:after="780" w:line="240" w:lineRule="auto"/>
        <w:ind w:right="0" w:firstLine="0"/>
        <w:jc w:val="left"/>
      </w:pPr>
      <w:r>
        <w:rPr>
          <w:rStyle w:val="CharStyle21"/>
        </w:rPr>
        <w:t xml:space="preserve">Действителен с 12.11.2024 </w:t>
      </w:r>
      <w:r>
        <w:rPr>
          <w:rStyle w:val="CharStyle21"/>
          <w:color w:val="5D5D5D"/>
        </w:rPr>
        <w:t xml:space="preserve">по </w:t>
      </w:r>
      <w:r>
        <w:rPr>
          <w:rStyle w:val="CharStyle21"/>
        </w:rPr>
        <w:t>05.02.2026</w:t>
      </w:r>
    </w:p>
    <w:p>
      <w:pPr>
        <w:pStyle w:val="Style26"/>
        <w:keepNext w:val="0"/>
        <w:keepLines w:val="0"/>
        <w:widowControl w:val="0"/>
        <w:shd w:val="clear" w:color="auto" w:fill="auto"/>
        <w:bidi w:val="0"/>
        <w:spacing w:before="0" w:line="240" w:lineRule="auto"/>
        <w:ind w:left="0" w:right="0" w:firstLine="0"/>
        <w:jc w:val="left"/>
      </w:pPr>
      <w:r>
        <w:rPr>
          <w:rStyle w:val="CharStyle27"/>
        </w:rPr>
        <w:t>Исп. Матюшенко А.А., 8(495) 784-75-05</w:t>
      </w:r>
    </w:p>
    <w:sectPr>
      <w:footnotePr>
        <w:pos w:val="pageBottom"/>
        <w:numFmt w:val="decimal"/>
        <w:numRestart w:val="continuous"/>
      </w:footnotePr>
      <w:type w:val="continuous"/>
      <w:pgSz w:w="11900" w:h="16840"/>
      <w:pgMar w:top="889" w:right="537" w:bottom="889"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10214610</wp:posOffset>
              </wp:positionV>
              <wp:extent cx="719455" cy="128270"/>
              <wp:wrapNone/>
              <wp:docPr id="2" name="Shape 2"/>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2025-41102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5pt;margin-top:804.30000000000007pt;width:56.649999999999999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2025-41102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10211435</wp:posOffset>
              </wp:positionV>
              <wp:extent cx="716280" cy="103505"/>
              <wp:wrapNone/>
              <wp:docPr id="10" name="Shape 10"/>
              <a:graphic xmlns:a="http://schemas.openxmlformats.org/drawingml/2006/main">
                <a:graphicData uri="http://schemas.microsoft.com/office/word/2010/wordprocessingShape">
                  <wps:wsp>
                    <wps:cNvSpPr txBox="1"/>
                    <wps:spPr>
                      <a:xfrm>
                        <a:ext cx="71628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2025-41102</w:t>
                          </w:r>
                        </w:p>
                      </w:txbxContent>
                    </wps:txbx>
                    <wps:bodyPr wrap="none" lIns="0" tIns="0" rIns="0" bIns="0">
                      <a:spAutoFit/>
                    </wps:bodyPr>
                  </wps:wsp>
                </a:graphicData>
              </a:graphic>
            </wp:anchor>
          </w:drawing>
        </mc:Choice>
        <mc:Fallback>
          <w:pict>
            <v:shape id="_x0000_s1036" type="#_x0000_t202" style="position:absolute;margin-left:56.850000000000001pt;margin-top:804.05000000000007pt;width:56.3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2025-41102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721995</wp:posOffset>
              </wp:positionH>
              <wp:positionV relativeFrom="page">
                <wp:posOffset>10211435</wp:posOffset>
              </wp:positionV>
              <wp:extent cx="716280" cy="103505"/>
              <wp:wrapNone/>
              <wp:docPr id="16" name="Shape 16"/>
              <a:graphic xmlns:a="http://schemas.openxmlformats.org/drawingml/2006/main">
                <a:graphicData uri="http://schemas.microsoft.com/office/word/2010/wordprocessingShape">
                  <wps:wsp>
                    <wps:cNvSpPr txBox="1"/>
                    <wps:spPr>
                      <a:xfrm>
                        <a:ext cx="71628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2025-41102</w:t>
                          </w:r>
                        </w:p>
                      </w:txbxContent>
                    </wps:txbx>
                    <wps:bodyPr wrap="none" lIns="0" tIns="0" rIns="0" bIns="0">
                      <a:spAutoFit/>
                    </wps:bodyPr>
                  </wps:wsp>
                </a:graphicData>
              </a:graphic>
            </wp:anchor>
          </w:drawing>
        </mc:Choice>
        <mc:Fallback>
          <w:pict>
            <v:shape id="_x0000_s1042" type="#_x0000_t202" style="position:absolute;margin-left:56.850000000000001pt;margin-top:804.05000000000007pt;width:56.3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2025-41102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335915</wp:posOffset>
              </wp:positionV>
              <wp:extent cx="64135" cy="67310"/>
              <wp:wrapNone/>
              <wp:docPr id="6" name="Shape 6"/>
              <a:graphic xmlns:a="http://schemas.openxmlformats.org/drawingml/2006/main">
                <a:graphicData uri="http://schemas.microsoft.com/office/word/2010/wordprocessingShape">
                  <wps:wsp>
                    <wps:cNvSpPr txBox="1"/>
                    <wps:spPr>
                      <a:xfrm>
                        <a:ext cx="64135"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2" type="#_x0000_t202" style="position:absolute;margin-left:309.pt;margin-top:26.449999999999999pt;width:5.0499999999999998pt;height:5.2999999999999998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3922395</wp:posOffset>
              </wp:positionH>
              <wp:positionV relativeFrom="page">
                <wp:posOffset>299085</wp:posOffset>
              </wp:positionV>
              <wp:extent cx="67310" cy="109855"/>
              <wp:wrapNone/>
              <wp:docPr id="8" name="Shape 8"/>
              <a:graphic xmlns:a="http://schemas.openxmlformats.org/drawingml/2006/main">
                <a:graphicData uri="http://schemas.microsoft.com/office/word/2010/wordprocessingShape">
                  <wps:wsp>
                    <wps:cNvSpPr txBox="1"/>
                    <wps:spPr>
                      <a:xfrm>
                        <a:ext cx="6731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4" type="#_x0000_t202" style="position:absolute;margin-left:308.85000000000002pt;margin-top:23.550000000000001pt;width:5.2999999999999998pt;height:8.6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335915</wp:posOffset>
              </wp:positionV>
              <wp:extent cx="64135" cy="67310"/>
              <wp:wrapNone/>
              <wp:docPr id="12" name="Shape 12"/>
              <a:graphic xmlns:a="http://schemas.openxmlformats.org/drawingml/2006/main">
                <a:graphicData uri="http://schemas.microsoft.com/office/word/2010/wordprocessingShape">
                  <wps:wsp>
                    <wps:cNvSpPr txBox="1"/>
                    <wps:spPr>
                      <a:xfrm>
                        <a:ext cx="64135"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pt;margin-top:26.449999999999999pt;width:5.0499999999999998pt;height:5.2999999999999998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3922395</wp:posOffset>
              </wp:positionH>
              <wp:positionV relativeFrom="page">
                <wp:posOffset>299085</wp:posOffset>
              </wp:positionV>
              <wp:extent cx="67310" cy="109855"/>
              <wp:wrapNone/>
              <wp:docPr id="14" name="Shape 14"/>
              <a:graphic xmlns:a="http://schemas.openxmlformats.org/drawingml/2006/main">
                <a:graphicData uri="http://schemas.microsoft.com/office/word/2010/wordprocessingShape">
                  <wps:wsp>
                    <wps:cNvSpPr txBox="1"/>
                    <wps:spPr>
                      <a:xfrm>
                        <a:ext cx="6731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8.85000000000002pt;margin-top:23.550000000000001pt;width:5.2999999999999998pt;height:8.6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Body text (4)"/>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spacing w:after="50"/>
      <w:ind w:left="3800"/>
    </w:pPr>
    <w:rPr>
      <w:rFonts w:ascii="Arial" w:eastAsia="Arial" w:hAnsi="Arial" w:cs="Arial"/>
      <w:b w:val="0"/>
      <w:bCs w:val="0"/>
      <w:i w:val="0"/>
      <w:iCs w:val="0"/>
      <w:smallCaps w:val="0"/>
      <w:strike w:val="0"/>
      <w:color w:val="424242"/>
      <w:sz w:val="12"/>
      <w:szCs w:val="12"/>
      <w:u w:val="none"/>
    </w:rPr>
  </w:style>
  <w:style w:type="paragraph" w:customStyle="1" w:styleId="Style26">
    <w:name w:val="Body text (5)"/>
    <w:basedOn w:val="Normal"/>
    <w:link w:val="CharStyle27"/>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 Id="rId18" Type="http://schemas.openxmlformats.org/officeDocument/2006/relationships/image" Target="media/image3.jpeg"/><Relationship Id="rId19" Type="http://schemas.openxmlformats.org/officeDocument/2006/relationships/image" Target="media/image3.jpeg" TargetMode="External"/><Relationship Id="rId20" Type="http://schemas.openxmlformats.org/officeDocument/2006/relationships/image" Target="media/image4.jpeg"/><Relationship Id="rId21" Type="http://schemas.openxmlformats.org/officeDocument/2006/relationships/image" Target="media/image4.jpeg" TargetMode="External"/></Relationships>
</file>