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94615</wp:posOffset>
                </wp:positionV>
                <wp:extent cx="2731135" cy="267017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31135" cy="2670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6619A"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9"/>
                                <w:szCs w:val="19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Адыгея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Ленина, 40, г. Майкоп, 385000</w:t>
                              <w:br/>
                              <w:t>тел. (8772) 57-05-22</w:t>
                              <w:br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to01@fas.gov.ru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4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9"/>
                                <w:sz w:val="30"/>
                                <w:szCs w:val="30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9"/>
                                <w:sz w:val="30"/>
                                <w:szCs w:val="30"/>
                              </w:rPr>
                              <w:t>8.09.2025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9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9"/>
                                <w:sz w:val="30"/>
                                <w:szCs w:val="30"/>
                                <w:u w:val="single"/>
                              </w:rPr>
                              <w:t>АЖ/2227/2</w:t>
                            </w:r>
                            <w:r>
                              <w:rPr>
                                <w:rStyle w:val="CharStyle9"/>
                                <w:sz w:val="30"/>
                                <w:szCs w:val="30"/>
                              </w:rPr>
                              <w:t>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6619A"/>
                                <w:sz w:val="20"/>
                                <w:szCs w:val="20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018" w:val="left"/>
                              </w:tabs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6619A"/>
                                <w:sz w:val="36"/>
                                <w:szCs w:val="36"/>
                              </w:rPr>
                              <w:t>Г</w:t>
                              <w:tab/>
                              <w:t>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300000000000004pt;margin-top:7.4500000000000002pt;width:215.05000000000001pt;height:210.2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6619A"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9"/>
                          <w:szCs w:val="19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Адыгея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Ленина, 40, г. Майкоп, 385000</w:t>
                        <w:br/>
                        <w:t>тел. (8772) 57-05-22</w:t>
                        <w:br/>
                      </w: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to01@fas.gov.ru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4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9"/>
                          <w:sz w:val="30"/>
                          <w:szCs w:val="30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9"/>
                          <w:sz w:val="30"/>
                          <w:szCs w:val="30"/>
                        </w:rPr>
                        <w:t>8.09.2025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9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9"/>
                          <w:sz w:val="30"/>
                          <w:szCs w:val="30"/>
                          <w:u w:val="single"/>
                        </w:rPr>
                        <w:t>АЖ/2227/2</w:t>
                      </w:r>
                      <w:r>
                        <w:rPr>
                          <w:rStyle w:val="CharStyle9"/>
                          <w:sz w:val="30"/>
                          <w:szCs w:val="30"/>
                        </w:rPr>
                        <w:t>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6619A"/>
                          <w:sz w:val="20"/>
                          <w:szCs w:val="20"/>
                        </w:rPr>
                        <w:t xml:space="preserve">На №  от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018" w:val="left"/>
                        </w:tabs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46619A"/>
                          <w:sz w:val="36"/>
                          <w:szCs w:val="36"/>
                        </w:rPr>
                        <w:t>Г</w:t>
                        <w:tab/>
                        <w:t>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127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9150350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МОНОПОЛИЕМ ПЭШ1УЕКЮРЭ</w:t>
        <w:br/>
        <w:t>ФЕДЕРАЛЬНЭ КЪУЛЫКЪУР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  <w:rPr>
          <w:sz w:val="19"/>
          <w:szCs w:val="19"/>
        </w:rPr>
      </w:pPr>
      <w:r>
        <w:rPr>
          <w:rStyle w:val="CharStyle6"/>
          <w:b/>
          <w:bCs/>
          <w:sz w:val="19"/>
          <w:szCs w:val="19"/>
        </w:rPr>
        <w:t>Монополием пэш!уек1орэ</w:t>
        <w:br/>
        <w:t>Федеральнэ къулыкъум</w:t>
        <w:br/>
        <w:t>Адыгэ РеспублкэмкТэ и</w:t>
        <w:br/>
        <w:t>Г ъэ1орыш1ап!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Лениным иур.. 40, къ. Мыекъуапэ, 385000</w:t>
        <w:br/>
        <w:t>тел./факс: (8772) 57-05-22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6"/>
          <w:lang w:val="en-US" w:eastAsia="en-US"/>
        </w:rPr>
        <w:t>to01@fas.gov.ru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9"/>
        </w:rPr>
        <w:t>ФГБОУ ВО «АГУ»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9"/>
          <w:lang w:val="en-US" w:eastAsia="en-US"/>
        </w:rPr>
        <w:t xml:space="preserve">385000, </w:t>
      </w:r>
      <w:r>
        <w:rPr>
          <w:rStyle w:val="CharStyle9"/>
        </w:rPr>
        <w:t xml:space="preserve">г. Майкоп, ул. Первомайская, </w:t>
      </w:r>
      <w:r>
        <w:rPr>
          <w:rStyle w:val="CharStyle9"/>
          <w:lang w:val="en-US" w:eastAsia="en-US"/>
        </w:rPr>
        <w:t>208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00"/>
        <w:jc w:val="left"/>
      </w:pPr>
      <w:r>
        <w:fldChar w:fldCharType="begin"/>
      </w:r>
      <w:r>
        <w:rPr/>
        <w:instrText> HYPERLINK "mailto:snabtorg@adygnet.ru" </w:instrText>
      </w:r>
      <w:r>
        <w:fldChar w:fldCharType="separate"/>
      </w:r>
      <w:r>
        <w:rPr>
          <w:rStyle w:val="CharStyle9"/>
          <w:lang w:val="en-US" w:eastAsia="en-US"/>
        </w:rPr>
        <w:t>snabtorg@adygnet.ru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160"/>
        <w:jc w:val="left"/>
      </w:pPr>
      <w:r>
        <w:rPr>
          <w:rStyle w:val="CharStyle9"/>
        </w:rPr>
        <w:t xml:space="preserve">ПОНОМАРЕВ МИХАИЛ ДМИТРИЕВИЧ </w:t>
      </w:r>
      <w:r>
        <w:rPr>
          <w:rStyle w:val="CharStyle9"/>
          <w:lang w:val="en-US" w:eastAsia="en-US"/>
        </w:rPr>
        <w:t xml:space="preserve">680020, </w:t>
      </w:r>
      <w:r>
        <w:rPr>
          <w:rStyle w:val="CharStyle9"/>
        </w:rPr>
        <w:t>ХАБАРОВСКИЙ КРАЙ, г.о.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9"/>
        </w:rPr>
        <w:t xml:space="preserve">ГОРОД ХАБАРОВСК, Г ХАБАРОВСК, ПЕР ДЗЕРЖИНСКОГО, Д. </w:t>
      </w:r>
      <w:r>
        <w:rPr>
          <w:rStyle w:val="CharStyle9"/>
          <w:lang w:val="en-US" w:eastAsia="en-US"/>
        </w:rPr>
        <w:t xml:space="preserve">20, </w:t>
      </w:r>
      <w:r>
        <w:rPr>
          <w:rStyle w:val="CharStyle9"/>
        </w:rPr>
        <w:t xml:space="preserve">КВ. </w:t>
      </w:r>
      <w:r>
        <w:rPr>
          <w:rStyle w:val="CharStyle9"/>
          <w:lang w:val="en-US" w:eastAsia="en-US"/>
        </w:rPr>
        <w:t xml:space="preserve">97 </w:t>
      </w:r>
      <w:r>
        <w:fldChar w:fldCharType="begin"/>
      </w:r>
      <w:r>
        <w:rPr/>
        <w:instrText> HYPERLINK "mailto:a9251655847@gmail.com" </w:instrText>
      </w:r>
      <w:r>
        <w:fldChar w:fldCharType="separate"/>
      </w:r>
      <w:r>
        <w:rPr>
          <w:rStyle w:val="CharStyle9"/>
          <w:lang w:val="en-US" w:eastAsia="en-US"/>
        </w:rPr>
        <w:t>a9251655847@gmail.com</w:t>
      </w:r>
      <w:r>
        <w:fldChar w:fldCharType="end"/>
      </w:r>
      <w:r>
        <w:rPr>
          <w:rStyle w:val="CharStyle9"/>
          <w:lang w:val="en-US" w:eastAsia="en-US"/>
        </w:rPr>
        <w:t>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5020" w:right="0" w:firstLine="0"/>
        <w:jc w:val="left"/>
      </w:pPr>
      <w:r>
        <w:fldChar w:fldCharType="begin"/>
      </w:r>
      <w:r>
        <w:rPr/>
        <w:instrText> HYPERLINK "mailto:84957818171@mail.ru" </w:instrText>
      </w:r>
      <w:r>
        <w:fldChar w:fldCharType="separate"/>
      </w:r>
      <w:r>
        <w:rPr>
          <w:rStyle w:val="CharStyle9"/>
          <w:lang w:val="en-US" w:eastAsia="en-US"/>
        </w:rPr>
        <w:t>84957818171@mail.ru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9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69" w:lineRule="auto"/>
        <w:ind w:left="0" w:right="0" w:firstLine="0"/>
        <w:jc w:val="center"/>
      </w:pPr>
      <w:r>
        <w:rPr>
          <w:rStyle w:val="CharStyle9"/>
        </w:rPr>
        <w:t xml:space="preserve">по делу </w:t>
      </w:r>
      <w:r>
        <w:rPr>
          <w:rStyle w:val="CharStyle9"/>
          <w:lang w:val="en-US" w:eastAsia="en-US"/>
        </w:rPr>
        <w:t xml:space="preserve">№001/06/105-380/2025 </w:t>
      </w:r>
      <w:r>
        <w:rPr>
          <w:rStyle w:val="CharStyle9"/>
        </w:rPr>
        <w:t>о результатах</w:t>
        <w:br/>
        <w:t>рассмотрения жалобы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285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9"/>
          <w:lang w:val="en-US" w:eastAsia="en-US"/>
        </w:rPr>
        <w:t xml:space="preserve">08 </w:t>
      </w:r>
      <w:r>
        <w:rPr>
          <w:rStyle w:val="CharStyle9"/>
        </w:rPr>
        <w:t xml:space="preserve">сентября </w:t>
      </w:r>
      <w:r>
        <w:rPr>
          <w:rStyle w:val="CharStyle9"/>
          <w:lang w:val="en-US" w:eastAsia="en-US"/>
        </w:rPr>
        <w:t xml:space="preserve">2025 </w:t>
      </w:r>
      <w:r>
        <w:rPr>
          <w:rStyle w:val="CharStyle9"/>
        </w:rPr>
        <w:t>года</w:t>
        <w:tab/>
        <w:t>г. Майкоп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 xml:space="preserve">Резолютивная часть оглашена: </w:t>
      </w:r>
      <w:r>
        <w:rPr>
          <w:rStyle w:val="CharStyle9"/>
          <w:lang w:val="en-US" w:eastAsia="en-US"/>
        </w:rPr>
        <w:t>05.09.2025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9"/>
        </w:rPr>
        <w:t xml:space="preserve">Решение изготовлено в полном объеме: </w:t>
      </w:r>
      <w:r>
        <w:rPr>
          <w:rStyle w:val="CharStyle9"/>
          <w:lang w:val="en-US" w:eastAsia="en-US"/>
        </w:rPr>
        <w:t>08.09.2025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69" w:lineRule="auto"/>
        <w:ind w:left="0" w:right="0" w:firstLine="66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462" w:right="546" w:bottom="1313" w:left="1106" w:header="34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Комиссия УФАС) в составе председателя Комиссии УФАС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Жукова А.Г., временно исполняющего обязанности руководителя Адыгейского УФАС; членов Комиссии: Керашевой С.М., главного специалиста-эксперта отдела контроля закупок; Клюкиной Н.А., главного специалиста-эксперта отдела контроля закупок, с участием представителя Федерального государственного бюджетного образовательного учреждения высшего образования «Адыгейский государственный университет»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Заказчик; ФГБОУ ВО «АГУ») Шопина А.В. (доверенность </w:t>
      </w:r>
      <w:r>
        <w:rPr>
          <w:rStyle w:val="CharStyle9"/>
          <w:lang w:val="en-US" w:eastAsia="en-US"/>
        </w:rPr>
        <w:t xml:space="preserve">№71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25.08.2025); </w:t>
      </w:r>
      <w:r>
        <w:rPr>
          <w:rStyle w:val="CharStyle9"/>
        </w:rPr>
        <w:t xml:space="preserve">Эльдаровой С.Н. (доверенность </w:t>
      </w:r>
      <w:r>
        <w:rPr>
          <w:rStyle w:val="CharStyle9"/>
          <w:lang w:val="en-US" w:eastAsia="en-US"/>
        </w:rPr>
        <w:t xml:space="preserve">№60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27.06.2025), </w:t>
      </w:r>
      <w:r>
        <w:rPr>
          <w:rStyle w:val="CharStyle9"/>
        </w:rPr>
        <w:t xml:space="preserve">рассмотрев жалобу Индивидуального предпринимателя Пономарева Михаила Дмитриевича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Заявитель; ИП Пономарев М.Д.) на положения извещения о проведении запроса котировок в электронной форме на поставку светового оборудования, для оснащения актового зала ФГБОУ ВО «Адыгейский государственный университет» (извещение </w:t>
      </w:r>
      <w:r>
        <w:rPr>
          <w:rStyle w:val="CharStyle9"/>
          <w:lang w:val="en-US" w:eastAsia="en-US"/>
        </w:rPr>
        <w:t xml:space="preserve">№0376100001925000014) </w:t>
      </w:r>
      <w:r>
        <w:rPr>
          <w:rStyle w:val="CharStyle9"/>
        </w:rPr>
        <w:t xml:space="preserve">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Запрос котировок), проведя внеплановую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rStyle w:val="CharStyle9"/>
        </w:rPr>
        <w:t xml:space="preserve">проверку на основании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15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05.04.2013 № </w:t>
      </w:r>
      <w:r>
        <w:rPr>
          <w:rStyle w:val="CharStyle9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>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УСТАНОВИЛА: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/>
        <w:jc w:val="both"/>
      </w:pPr>
      <w:bookmarkStart w:id="0" w:name="bookmark0"/>
      <w:r>
        <w:rPr>
          <w:rStyle w:val="CharStyle19"/>
        </w:rPr>
        <w:t xml:space="preserve">В Управление Федеральной антимонопольной службы по Республике Адыгея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Адыгейское УФАС России) </w:t>
      </w:r>
      <w:r>
        <w:rPr>
          <w:rStyle w:val="CharStyle19"/>
          <w:lang w:val="en-US" w:eastAsia="en-US"/>
        </w:rPr>
        <w:t xml:space="preserve">01.09.2025 </w:t>
      </w:r>
      <w:r>
        <w:rPr>
          <w:rStyle w:val="CharStyle19"/>
        </w:rPr>
        <w:t>поступила жалоба Заявителя, согласно которой:</w:t>
      </w:r>
      <w:bookmarkEnd w:id="0"/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9"/>
        </w:rPr>
        <w:t xml:space="preserve">Извещение об осуществлении Запроса котировок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Извещение) составлено с нарушением Закона о контрактной системе, что привело к невозможности подать заявку на участие в процедуре «</w:t>
      </w:r>
      <w:r>
        <w:rPr>
          <w:rStyle w:val="CharStyle19"/>
          <w:i/>
          <w:iCs/>
        </w:rPr>
        <w:t>в связи с тем, что:</w:t>
      </w:r>
      <w:bookmarkEnd w:id="2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i/>
          <w:iCs/>
        </w:rPr>
        <w:t>На стадии исполнения контракта я не смогу подтвердить паспортами изделий достоверность указанных мною сведений и как следствие понесу убытки и отправлюсь в РНП.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i/>
          <w:iCs/>
        </w:rPr>
        <w:t>Заказчиком допущены ошибки, которые позволяют знакомым заказчику поставщикам подать заявку не боясь, что оборудование не примут, тогда как я не могу подать заявку, так как отсутствуют на рынке товаров модели оборудования, которые идеально соответствовали бы требованиям ООЗ (</w:t>
      </w:r>
      <w:r>
        <w:rPr>
          <w:rStyle w:val="CharStyle9"/>
        </w:rPr>
        <w:t>описания объекта закупки, прим.</w:t>
      </w:r>
      <w:r>
        <w:rPr>
          <w:rStyle w:val="CharStyle9"/>
          <w:i/>
          <w:iCs/>
        </w:rPr>
        <w:t>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  <w:i/>
          <w:iCs/>
        </w:rPr>
        <w:t>На рынке товаров нет двух идеально подходящих под каждую из позиций в соответствии с паспортом изделия товаров.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9"/>
          <w:i/>
          <w:iCs/>
        </w:rPr>
        <w:t>Заказчиком допущено ограничение конкуренции и возможно в дальнейшем будет установлено злоупотребление должностными полномочиями выразившиеся в том, что: Извещение об электронной процедуре и документы, являющиеся частью аукционной документации, не позволяют добросовестным поставщикам подать заявку, без риска оказаться в РНП по причине несоответствия товара требованием. При этом стоит отметить, что заказчик в данном способе отбора поставщика возможно имел умысел на составление документов таким образом, чтобы заявиться мог только тот поставщик, который не боится, что товар у него не принят, так как достигнута договорённость о приемке товара</w:t>
      </w:r>
      <w:r>
        <w:rPr>
          <w:rStyle w:val="CharStyle9"/>
        </w:rPr>
        <w:t>».</w:t>
      </w:r>
    </w:p>
    <w:p>
      <w:pPr>
        <w:pStyle w:val="Style18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200" w:line="240" w:lineRule="auto"/>
        <w:ind w:left="0" w:right="0"/>
        <w:jc w:val="both"/>
      </w:pPr>
      <w:bookmarkStart w:id="4" w:name="bookmark4"/>
      <w:r>
        <w:rPr>
          <w:rStyle w:val="CharStyle19"/>
        </w:rPr>
        <w:t>Анализ товаров, представленных в интернете, проведенный Заявителем, привел к выводу, что «</w:t>
      </w:r>
      <w:r>
        <w:rPr>
          <w:rStyle w:val="CharStyle19"/>
          <w:i/>
          <w:iCs/>
        </w:rPr>
        <w:t>на рынке товаров отсутствуют два товара от разных производителей, которые соответствовали бы требованиям ООЗ</w:t>
      </w:r>
      <w:r>
        <w:rPr>
          <w:rStyle w:val="CharStyle19"/>
        </w:rPr>
        <w:t>»;</w:t>
      </w:r>
      <w:bookmarkEnd w:id="4"/>
    </w:p>
    <w:p>
      <w:pPr>
        <w:pStyle w:val="Style18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200" w:line="240" w:lineRule="auto"/>
        <w:ind w:left="0" w:right="0"/>
        <w:jc w:val="both"/>
      </w:pPr>
      <w:bookmarkStart w:id="6" w:name="bookmark6"/>
      <w:r>
        <w:rPr>
          <w:rStyle w:val="CharStyle19"/>
        </w:rPr>
        <w:t>В описании объекта закупки содержатся недостоверные сведения, выражающиеся в том, что требования к товару, указанные в Извещении противоречат характеристикам товаров, явившихся предметом при обосновании НМЦК. Также «</w:t>
      </w:r>
      <w:r>
        <w:rPr>
          <w:rStyle w:val="CharStyle19"/>
          <w:i/>
          <w:iCs/>
        </w:rPr>
        <w:t>мы просим провести проверку на предмет завышения цен на закупаемые заказчиком товары</w:t>
      </w:r>
      <w:r>
        <w:rPr>
          <w:rStyle w:val="CharStyle19"/>
        </w:rPr>
        <w:t>»;</w:t>
      </w:r>
      <w:bookmarkEnd w:id="6"/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69" w:val="left"/>
        </w:tabs>
        <w:bidi w:val="0"/>
        <w:spacing w:before="0" w:after="200" w:line="240" w:lineRule="auto"/>
        <w:ind w:left="0" w:right="0" w:firstLine="680"/>
        <w:jc w:val="both"/>
      </w:pPr>
      <w:r>
        <w:rPr>
          <w:rStyle w:val="CharStyle9"/>
        </w:rPr>
        <w:t xml:space="preserve">В действиях Заказчика усматривается нарушение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>33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9"/>
        </w:rPr>
        <w:t>Закона о контрактной системе, выразившееся в нарушении правил описания объекта закупки: «</w:t>
      </w:r>
      <w:r>
        <w:rPr>
          <w:rStyle w:val="CharStyle9"/>
          <w:i/>
          <w:iCs/>
        </w:rPr>
        <w:t>Составляя ООЗ с ошибками, то есть выставляя требованиям таким образом, чтобы в соответствии с паспортом изделия они не подходили под ООЗ, заказчик создал условия, при которых у добросовестных поставщиков отсутствовала возможность заявиться по причине риска оказаться в РНП или по причине риска непринятия товара.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660"/>
        <w:jc w:val="both"/>
      </w:pPr>
      <w:bookmarkStart w:id="9" w:name="bookmark9"/>
      <w:r>
        <w:rPr>
          <w:rStyle w:val="CharStyle19"/>
          <w:b/>
          <w:bCs/>
          <w:i/>
          <w:iCs/>
        </w:rPr>
        <w:t>Выше указанный довод должен быть признан обоснованным основываясь на совокупности всех представленных нами доводов, которые нашли своё подтверждение при рассмотрении жалобы.</w:t>
      </w:r>
      <w:r>
        <w:rPr>
          <w:rStyle w:val="CharStyle19"/>
        </w:rPr>
        <w:t>»;</w:t>
      </w:r>
      <w:bookmarkEnd w:id="9"/>
    </w:p>
    <w:p>
      <w:pPr>
        <w:pStyle w:val="Style18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200" w:line="240" w:lineRule="auto"/>
        <w:ind w:left="0" w:right="0" w:firstLine="660"/>
        <w:jc w:val="both"/>
      </w:pPr>
      <w:bookmarkStart w:id="11" w:name="bookmark11"/>
      <w:r>
        <w:rPr>
          <w:rStyle w:val="CharStyle19"/>
        </w:rPr>
        <w:t>(На случай отмены процедуры) «</w:t>
      </w:r>
      <w:r>
        <w:rPr>
          <w:rStyle w:val="CharStyle19"/>
          <w:i/>
          <w:iCs/>
        </w:rPr>
        <w:t xml:space="preserve">Если к моменту рассмотрения жалобы процедура будет отменена, то прошу выявить в действиях заказчика нарушения требований Закона о контрактной системе, ответственность за которое предусмотрена частью </w:t>
      </w:r>
      <w:r>
        <w:rPr>
          <w:rStyle w:val="CharStyle19"/>
          <w:i/>
          <w:iCs/>
          <w:lang w:val="en-US" w:eastAsia="en-US"/>
        </w:rPr>
        <w:t xml:space="preserve">8 </w:t>
      </w:r>
      <w:r>
        <w:rPr>
          <w:rStyle w:val="CharStyle19"/>
          <w:i/>
          <w:iCs/>
        </w:rPr>
        <w:t xml:space="preserve">статьи </w:t>
      </w:r>
      <w:r>
        <w:rPr>
          <w:rStyle w:val="CharStyle19"/>
          <w:i/>
          <w:iCs/>
          <w:lang w:val="en-US" w:eastAsia="en-US"/>
        </w:rPr>
        <w:t xml:space="preserve">7.30 </w:t>
      </w:r>
      <w:r>
        <w:rPr>
          <w:rStyle w:val="CharStyle19"/>
          <w:i/>
          <w:iCs/>
        </w:rPr>
        <w:t>Кодекса Российской Федерации об административных правонарушениях</w:t>
      </w:r>
      <w:r>
        <w:rPr>
          <w:rStyle w:val="CharStyle19"/>
        </w:rPr>
        <w:t xml:space="preserve">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КоАП РФ).</w:t>
      </w:r>
      <w:bookmarkEnd w:id="11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3" w:name="bookmark13"/>
      <w:r>
        <w:rPr>
          <w:rStyle w:val="CharStyle19"/>
        </w:rPr>
        <w:t>На основании изложенного Заявитель просит рассмотреть жалобу по существу, установить в действиях заказчика и уполномоченного органа нарушения Закона о контрактной системе, обязать Заказчика привести документацию в соответствие с требованиями законодательства, при установлении фактов, указывающих на умышленное нарушение заказчиком требований законодательства, если они привели к ограничению конкуренции или злоупотреблению должностными обязанностями направить материалы дела в правоохранительные органы для принятия процессуальных решений предусмотренных уголовным или административными кодексами Российской Федерации, допустить Пономарева М.Д. к участию в рассмотрении жалобы в качестве зрителя и слушателя, «</w:t>
      </w:r>
      <w:r>
        <w:rPr>
          <w:rStyle w:val="CharStyle19"/>
          <w:i/>
          <w:iCs/>
        </w:rPr>
        <w:t>так как камера и микрофон у меня не работают</w:t>
      </w:r>
      <w:r>
        <w:rPr>
          <w:rStyle w:val="CharStyle19"/>
        </w:rPr>
        <w:t>».</w:t>
      </w:r>
      <w:bookmarkEnd w:id="13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5" w:name="bookmark15"/>
      <w:r>
        <w:rPr>
          <w:rStyle w:val="CharStyle19"/>
        </w:rPr>
        <w:t xml:space="preserve">Кроме жалобы Заявителем подано Ходатайство (Приложение к жалобе </w:t>
      </w:r>
      <w:r>
        <w:rPr>
          <w:rStyle w:val="CharStyle19"/>
          <w:lang w:val="en-US" w:eastAsia="en-US"/>
        </w:rPr>
        <w:t xml:space="preserve">№1), </w:t>
      </w:r>
      <w:r>
        <w:rPr>
          <w:rStyle w:val="CharStyle19"/>
        </w:rPr>
        <w:t>в котором Заявитель обращается к Комиссии УФАС и просит «</w:t>
      </w:r>
      <w:r>
        <w:rPr>
          <w:rStyle w:val="CharStyle19"/>
          <w:i/>
          <w:iCs/>
        </w:rPr>
        <w:t>Объявить в заседании перерыв и направить мне на почту представленную Заказчиком информацию, чтобы я мог привести аргументы с ссылками на официальные документы, указывающие на введение вас в заблуждение.</w:t>
      </w:r>
      <w:bookmarkEnd w:id="15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7" w:name="bookmark17"/>
      <w:r>
        <w:rPr>
          <w:rStyle w:val="CharStyle19"/>
          <w:i/>
          <w:iCs/>
        </w:rPr>
        <w:t>Для предоставления вам аргументов мне будет достаточно одного дня</w:t>
      </w:r>
      <w:r>
        <w:rPr>
          <w:rStyle w:val="CharStyle19"/>
        </w:rPr>
        <w:t>».</w:t>
      </w:r>
      <w:bookmarkEnd w:id="17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9" w:name="bookmark19"/>
      <w:r>
        <w:rPr>
          <w:rStyle w:val="CharStyle19"/>
        </w:rPr>
        <w:t>Рассмотрев указанное ходатайство Комиссия УФАС сообщает следующее права и/или обязанности по ознакомлению с материалами дела, в том числе, направления их копий и/или оригиналов участникам при рассмотрении дела Законом о контрактной системе не предусмотрено.</w:t>
      </w:r>
      <w:bookmarkEnd w:id="19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21" w:name="bookmark21"/>
      <w:r>
        <w:rPr>
          <w:rStyle w:val="CharStyle19"/>
        </w:rPr>
        <w:t xml:space="preserve">Частью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>Закона установлено, что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лицо, подавшее жалобу, лиц, направивших возражения на жалобу, о результатах такого рассмотрения.</w:t>
      </w:r>
      <w:bookmarkEnd w:id="2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60"/>
        <w:jc w:val="both"/>
      </w:pPr>
      <w:r>
        <w:rPr>
          <w:rStyle w:val="CharStyle9"/>
        </w:rPr>
        <w:t>При этом контрольный орган в сфере закупок вправе направлять запросы 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предоставлении информации и документов, необходимых для рассмотрения жалобы, в том числе запросить у субъектов контроля указанные информацию и документы.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24" w:name="bookmark24"/>
      <w:r>
        <w:rPr>
          <w:rStyle w:val="CharStyle19"/>
        </w:rPr>
        <w:t xml:space="preserve">Жалоба ИП Пономарева М.Д. размещена в ЕИС </w:t>
      </w:r>
      <w:r>
        <w:rPr>
          <w:rStyle w:val="CharStyle19"/>
          <w:lang w:val="en-US" w:eastAsia="en-US"/>
        </w:rPr>
        <w:t xml:space="preserve">31.08.2025 </w:t>
      </w:r>
      <w:r>
        <w:rPr>
          <w:rStyle w:val="CharStyle19"/>
        </w:rPr>
        <w:t xml:space="preserve">в </w:t>
      </w:r>
      <w:r>
        <w:rPr>
          <w:rStyle w:val="CharStyle19"/>
          <w:u w:val="single"/>
          <w:lang w:val="en-US" w:eastAsia="en-US"/>
        </w:rPr>
        <w:t xml:space="preserve">14:18 </w:t>
      </w:r>
      <w:r>
        <w:rPr>
          <w:rStyle w:val="CharStyle19"/>
          <w:u w:val="single"/>
        </w:rPr>
        <w:t>МСК</w:t>
      </w:r>
      <w:r>
        <w:rPr>
          <w:rStyle w:val="CharStyle19"/>
        </w:rPr>
        <w:t xml:space="preserve">, зарегистрирована в Адыгейском УФАС России </w:t>
      </w:r>
      <w:r>
        <w:rPr>
          <w:rStyle w:val="CharStyle19"/>
          <w:lang w:val="en-US" w:eastAsia="en-US"/>
        </w:rPr>
        <w:t xml:space="preserve">01.09.2025 </w:t>
      </w:r>
      <w:r>
        <w:rPr>
          <w:rStyle w:val="CharStyle19"/>
        </w:rPr>
        <w:t xml:space="preserve">(вх. </w:t>
      </w:r>
      <w:r>
        <w:rPr>
          <w:rStyle w:val="CharStyle19"/>
          <w:lang w:val="en-US" w:eastAsia="en-US"/>
        </w:rPr>
        <w:t xml:space="preserve">№3862/25), </w:t>
      </w:r>
      <w:r>
        <w:rPr>
          <w:rStyle w:val="CharStyle19"/>
        </w:rPr>
        <w:t xml:space="preserve">ее рассмотрение было назначено на </w:t>
      </w:r>
      <w:r>
        <w:rPr>
          <w:rStyle w:val="CharStyle19"/>
          <w:lang w:val="en-US" w:eastAsia="en-US"/>
        </w:rPr>
        <w:t xml:space="preserve">05.09.2025, </w:t>
      </w:r>
      <w:r>
        <w:rPr>
          <w:rStyle w:val="CharStyle19"/>
        </w:rPr>
        <w:t xml:space="preserve">то есть на пятый рабочий день, объяснения Заказчика поступили </w:t>
      </w:r>
      <w:r>
        <w:rPr>
          <w:rStyle w:val="CharStyle19"/>
          <w:lang w:val="en-US" w:eastAsia="en-US"/>
        </w:rPr>
        <w:t xml:space="preserve">04.09.2025 </w:t>
      </w:r>
      <w:r>
        <w:rPr>
          <w:rStyle w:val="CharStyle19"/>
        </w:rPr>
        <w:t xml:space="preserve">г., в связи с чем, направлять указанные Заявителем запросы и получать на них ответы, а также объявить перерыв,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невозможно, ввиду ограниченности Законом сроков рассмотрения жалобы.</w:t>
      </w:r>
      <w:bookmarkEnd w:id="24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26" w:name="bookmark26"/>
      <w:r>
        <w:rPr>
          <w:rStyle w:val="CharStyle19"/>
        </w:rPr>
        <w:t>Кроме того, Заявитель мог лично, либо с использованием ВКС участвовать в рассмотрении жалобы, ознакомиться со всеми представленными документами, однако своим правом не воспользовался, явку уполномоченного представителя на заседание Комиссии УФАС не обеспечил.</w:t>
      </w:r>
      <w:bookmarkEnd w:id="2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28" w:name="bookmark28"/>
      <w:r>
        <w:rPr>
          <w:rStyle w:val="CharStyle19"/>
        </w:rPr>
        <w:t>На основании изложенного, Комиссия УФАС, отказывает ИП Пономареву М.Д. в удовлетворении заявленного ходатайства, и переходит к рассмотрению доводов жалобы, по существу.</w:t>
      </w:r>
      <w:bookmarkEnd w:id="2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30" w:name="bookmark30"/>
      <w:r>
        <w:rPr>
          <w:rStyle w:val="CharStyle19"/>
        </w:rPr>
        <w:t xml:space="preserve">Как указано выше, Заказчик </w:t>
      </w:r>
      <w:r>
        <w:rPr>
          <w:rStyle w:val="CharStyle19"/>
          <w:lang w:val="en-US" w:eastAsia="en-US"/>
        </w:rPr>
        <w:t xml:space="preserve">04.09.2025 </w:t>
      </w:r>
      <w:r>
        <w:rPr>
          <w:rStyle w:val="CharStyle19"/>
        </w:rPr>
        <w:t xml:space="preserve">предоставил письменное Возражение на жалобу (исх. </w:t>
      </w:r>
      <w:r>
        <w:rPr>
          <w:rStyle w:val="CharStyle19"/>
          <w:lang w:val="en-US" w:eastAsia="en-US"/>
        </w:rPr>
        <w:t xml:space="preserve">№1407), </w:t>
      </w:r>
      <w:r>
        <w:rPr>
          <w:rStyle w:val="CharStyle19"/>
        </w:rPr>
        <w:t>в котором не согласился с доводами Заявителя и просил признать жалобу ИП Пономарева М.Д. необоснованной. Также Заказчик приложил к Возражению на жалобу сравнительную таблицу с анализом соответствия светового оборудования разных производителей требованиям Извещения, подтверждающую наличие на рынке как минимум двух производителей закупаемого оборудования.</w:t>
      </w:r>
      <w:bookmarkEnd w:id="30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bookmarkStart w:id="32" w:name="bookmark32"/>
      <w:r>
        <w:rPr>
          <w:rStyle w:val="CharStyle19"/>
        </w:rPr>
        <w:t>В результате рассмотрения жалобы и проведения внеплановой проверки Комиссия УФАС установила следующее.</w:t>
      </w:r>
      <w:bookmarkEnd w:id="3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34" w:name="bookmark34"/>
      <w:r>
        <w:rPr>
          <w:rStyle w:val="CharStyle19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ЕИС) </w:t>
      </w:r>
      <w:r>
        <w:rPr>
          <w:rStyle w:val="CharStyle19"/>
          <w:lang w:val="en-US" w:eastAsia="en-US"/>
        </w:rPr>
        <w:t>zakupki.gov.ru</w:t>
      </w:r>
      <w:r>
        <w:rPr>
          <w:rStyle w:val="CharStyle19"/>
          <w:lang w:val="en-US" w:eastAsia="en-US"/>
        </w:rPr>
        <w:t xml:space="preserve"> 25.08.2025 </w:t>
      </w:r>
      <w:r>
        <w:rPr>
          <w:rStyle w:val="CharStyle19"/>
        </w:rPr>
        <w:t>размещено извещение о проведении Запроса котировок.</w:t>
      </w:r>
      <w:bookmarkEnd w:id="34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36" w:name="bookmark36"/>
      <w:r>
        <w:rPr>
          <w:rStyle w:val="CharStyle19"/>
        </w:rPr>
        <w:t xml:space="preserve">Начальная (максимальная) цена контракта </w:t>
      </w:r>
      <w:r>
        <w:rPr>
          <w:rStyle w:val="CharStyle19"/>
          <w:lang w:val="en-US" w:eastAsia="en-US"/>
        </w:rPr>
        <w:t xml:space="preserve">– 6 942 300,06 </w:t>
      </w:r>
      <w:r>
        <w:rPr>
          <w:rStyle w:val="CharStyle19"/>
        </w:rPr>
        <w:t>рублей.</w:t>
      </w:r>
      <w:bookmarkEnd w:id="3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38" w:name="bookmark38"/>
      <w:r>
        <w:rPr>
          <w:rStyle w:val="CharStyle19"/>
        </w:rPr>
        <w:t>Объект закупки: поставка светового оборудования для оснащения актового зала ФГБОУ ВО «Адыгейский государственный университет».</w:t>
      </w:r>
      <w:bookmarkEnd w:id="3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40" w:name="bookmark40"/>
      <w:r>
        <w:rPr>
          <w:rStyle w:val="CharStyle19"/>
        </w:rPr>
        <w:t xml:space="preserve">Комиссия УФАС установила, что при описании объекта закупки в электронном извещении о проведении Запроса котировок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Извещение) Заказчик использовал следующие наименования товаров и коды:</w:t>
      </w:r>
      <w:bookmarkEnd w:id="40"/>
    </w:p>
    <w:tbl>
      <w:tblPr>
        <w:tblOverlap w:val="never"/>
        <w:jc w:val="center"/>
        <w:tblLayout w:type="fixed"/>
      </w:tblPr>
      <w:tblGrid>
        <w:gridCol w:w="571"/>
        <w:gridCol w:w="3106"/>
        <w:gridCol w:w="2093"/>
        <w:gridCol w:w="2016"/>
        <w:gridCol w:w="2184"/>
      </w:tblGrid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3"/>
                <w:b/>
                <w:bCs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3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3"/>
                <w:b/>
                <w:bCs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3"/>
                <w:b/>
                <w:bCs/>
                <w:sz w:val="24"/>
                <w:szCs w:val="24"/>
              </w:rPr>
              <w:t>Код позиции (КТРУ; ОКПД2)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3"/>
                <w:b/>
                <w:bCs/>
                <w:sz w:val="24"/>
                <w:szCs w:val="24"/>
              </w:rPr>
              <w:t xml:space="preserve">Тип позиции </w:t>
            </w:r>
            <w:r>
              <w:rPr>
                <w:rStyle w:val="CharStyle3"/>
                <w:b/>
                <w:bCs/>
                <w:sz w:val="24"/>
                <w:szCs w:val="24"/>
                <w:lang w:val="en-US" w:eastAsia="en-US"/>
              </w:rPr>
              <w:t xml:space="preserve">/ </w:t>
            </w:r>
            <w:r>
              <w:rPr>
                <w:rStyle w:val="CharStyle3"/>
                <w:b/>
                <w:bCs/>
                <w:sz w:val="24"/>
                <w:szCs w:val="24"/>
              </w:rPr>
              <w:t>Товарный знак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3"/>
                <w:b/>
                <w:bCs/>
                <w:sz w:val="24"/>
                <w:szCs w:val="24"/>
              </w:rPr>
              <w:t xml:space="preserve">Отношение к Постановлению </w:t>
            </w:r>
            <w:r>
              <w:rPr>
                <w:rStyle w:val="CharStyle3"/>
                <w:b/>
                <w:bCs/>
                <w:sz w:val="24"/>
                <w:szCs w:val="24"/>
                <w:lang w:val="en-US" w:eastAsia="en-US"/>
              </w:rPr>
              <w:t>№1875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Прожектор сценического освещения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27.40.33.190</w:t>
              <w:softHyphen/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00000002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Поз.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№333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Приложения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№2</w:t>
            </w: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Прожектор сценического освещения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27.40.33.190</w:t>
              <w:softHyphen/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00000002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Поз.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№333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Приложения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№2</w:t>
            </w:r>
          </w:p>
        </w:tc>
      </w:tr>
      <w:tr>
        <w:trPr>
          <w:trHeight w:val="65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3.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Прожектор сценического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27.40.33.190</w:t>
              <w:softHyphen/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00000002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Поз.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№333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Приложения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№2</w:t>
            </w:r>
          </w:p>
        </w:tc>
      </w:tr>
    </w:tbl>
    <w:p>
      <w:p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6" w:right="517" w:bottom="1388" w:left="1044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71"/>
        <w:gridCol w:w="3106"/>
        <w:gridCol w:w="2093"/>
        <w:gridCol w:w="2016"/>
        <w:gridCol w:w="2184"/>
      </w:tblGrid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освещения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Прожектор сценического освещения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27.40.33.190</w:t>
              <w:softHyphen/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00000002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Поз.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№333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Приложения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№2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Прожектор сценического освещения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27.40.33.190</w:t>
              <w:softHyphen/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00000002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Поз.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№333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Приложения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№2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6.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Прожектор сценического освещения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27.40.33.190</w:t>
              <w:softHyphen/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  <w:lang w:val="en-US" w:eastAsia="en-US"/>
              </w:rPr>
              <w:t>00000002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Style w:val="CharStyle3"/>
                <w:sz w:val="28"/>
                <w:szCs w:val="28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Поз.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№333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3"/>
                <w:sz w:val="24"/>
                <w:szCs w:val="24"/>
              </w:rPr>
              <w:t xml:space="preserve">Приложения </w:t>
            </w:r>
            <w:r>
              <w:rPr>
                <w:rStyle w:val="CharStyle3"/>
                <w:sz w:val="24"/>
                <w:szCs w:val="24"/>
                <w:lang w:val="en-US" w:eastAsia="en-US"/>
              </w:rPr>
              <w:t>№2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90" w:name="bookmark90"/>
      <w:r>
        <w:rPr>
          <w:rStyle w:val="CharStyle19"/>
        </w:rPr>
        <w:t xml:space="preserve">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Закона о контрактной системе предусмотрено, что заказчик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  <w:bookmarkEnd w:id="90"/>
    </w:p>
    <w:p>
      <w:pPr>
        <w:pStyle w:val="Style1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bookmarkStart w:id="92" w:name="bookmark92"/>
      <w:r>
        <w:rPr>
          <w:rStyle w:val="CharStyle19"/>
        </w:rPr>
        <w:t>сопровождение такого указания словами "или эквивалент";</w:t>
      </w:r>
      <w:bookmarkEnd w:id="92"/>
    </w:p>
    <w:p>
      <w:pPr>
        <w:pStyle w:val="Style1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20"/>
        <w:jc w:val="both"/>
      </w:pPr>
      <w:bookmarkStart w:id="94" w:name="bookmark94"/>
      <w:r>
        <w:rPr>
          <w:rStyle w:val="CharStyle19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  <w:bookmarkEnd w:id="94"/>
    </w:p>
    <w:p>
      <w:pPr>
        <w:pStyle w:val="Style1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bookmarkStart w:id="96" w:name="bookmark96"/>
      <w:r>
        <w:rPr>
          <w:rStyle w:val="CharStyle19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bookmarkEnd w:id="96"/>
    </w:p>
    <w:p>
      <w:pPr>
        <w:pStyle w:val="Style1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bookmarkStart w:id="98" w:name="bookmark98"/>
      <w:r>
        <w:rPr>
          <w:rStyle w:val="CharStyle19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  <w:bookmarkEnd w:id="9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0" w:name="bookmark100"/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bookmarkEnd w:id="10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20"/>
        <w:jc w:val="both"/>
        <w:rPr>
          <w:sz w:val="24"/>
          <w:szCs w:val="24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95" w:right="546" w:bottom="740" w:left="1025" w:header="0" w:footer="312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По мнению Комиссии УФАС, доводы жалобы Заявителя </w:t>
      </w:r>
      <w:r>
        <w:rPr>
          <w:rStyle w:val="CharStyle9"/>
          <w:lang w:val="en-US" w:eastAsia="en-US"/>
        </w:rPr>
        <w:t xml:space="preserve">№1, 2, 4 </w:t>
      </w:r>
      <w:r>
        <w:rPr>
          <w:rStyle w:val="CharStyle9"/>
        </w:rPr>
        <w:t xml:space="preserve">содержат </w:t>
      </w:r>
      <w:r>
        <w:rPr>
          <w:rStyle w:val="CharStyle9"/>
          <w:sz w:val="24"/>
          <w:szCs w:val="24"/>
          <w:lang w:val="en-US" w:eastAsia="en-US"/>
        </w:rPr>
        <w:t>2025-2423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both"/>
      </w:pPr>
      <w:r>
        <w:rPr>
          <w:rStyle w:val="CharStyle9"/>
        </w:rPr>
        <w:t>идентичную информацию о нарушениях в описании объекта закупки.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03" w:name="bookmark103"/>
      <w:r>
        <w:rPr>
          <w:rStyle w:val="CharStyle19"/>
        </w:rPr>
        <w:t>Комиссия УФАС отмечает, что специфика закупки определяет необходимые требования к товару, в связи с чем, правомочие на их установление законодательством Российской Федерации о контрактной системе предоставлено Заказчику.</w:t>
      </w:r>
      <w:bookmarkEnd w:id="103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05" w:name="bookmark105"/>
      <w:r>
        <w:rPr>
          <w:rStyle w:val="CharStyle19"/>
        </w:rPr>
        <w:t>Указанием на определенные показатели требуемого товара, Заказчик проинформировал участников закупки о требованиях к товарам, необходимым Заказчику. Отсутствие у каких-либо лиц, заинтересованных в заключении государственного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числа участников закупки.</w:t>
      </w:r>
      <w:bookmarkEnd w:id="105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07" w:name="bookmark107"/>
      <w:r>
        <w:rPr>
          <w:rStyle w:val="CharStyle19"/>
        </w:rPr>
        <w:t>Кроме того, Заказчик не имеет возможность установить требования к техническим, качественным характеристикам товара, которые удовлетворяли бы всех возможных участников закупки.</w:t>
      </w:r>
      <w:bookmarkEnd w:id="107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09" w:name="bookmark109"/>
      <w:r>
        <w:rPr>
          <w:rStyle w:val="CharStyle19"/>
        </w:rPr>
        <w:t>При этом Закон о контрактной системе не обязывает Заказчика при определении характеристик поставляемого товара в Извещении устанавливать такие характеристики, которые соответствовали бы всем существующим типам, видам, маркам товара.</w:t>
      </w:r>
      <w:bookmarkEnd w:id="109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11" w:name="bookmark111"/>
      <w:r>
        <w:rPr>
          <w:rStyle w:val="CharStyle19"/>
        </w:rPr>
        <w:t>В своем Возражении на жалобу Заказчик сообщает следующее: «</w:t>
      </w:r>
      <w:r>
        <w:rPr>
          <w:rStyle w:val="CharStyle19"/>
          <w:i/>
          <w:iCs/>
        </w:rPr>
        <w:t xml:space="preserve">По данному запросу котировок </w:t>
      </w:r>
      <w:r>
        <w:rPr>
          <w:rStyle w:val="CharStyle19"/>
          <w:i/>
          <w:iCs/>
          <w:lang w:val="en-US" w:eastAsia="en-US"/>
        </w:rPr>
        <w:t xml:space="preserve">(№0376100001925000014) </w:t>
      </w:r>
      <w:r>
        <w:rPr>
          <w:rStyle w:val="CharStyle19"/>
          <w:i/>
          <w:iCs/>
        </w:rPr>
        <w:t xml:space="preserve">подано четыре </w:t>
      </w:r>
      <w:r>
        <w:rPr>
          <w:rStyle w:val="CharStyle19"/>
          <w:i/>
          <w:iCs/>
          <w:lang w:val="en-US" w:eastAsia="en-US"/>
        </w:rPr>
        <w:t xml:space="preserve">(4) </w:t>
      </w:r>
      <w:r>
        <w:rPr>
          <w:rStyle w:val="CharStyle19"/>
          <w:i/>
          <w:iCs/>
        </w:rPr>
        <w:t>заявки. Анализ поданных заявок показывает, что в каждой заявке предложены модели оборудования разных производителей, т.к. технические их характеристики отличаются друг от друга, но при этом удовлетворяют требованиям технического задания.</w:t>
      </w:r>
      <w:bookmarkEnd w:id="111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13" w:name="bookmark113"/>
      <w:r>
        <w:rPr>
          <w:rStyle w:val="CharStyle19"/>
          <w:i/>
          <w:iCs/>
        </w:rPr>
        <w:t xml:space="preserve">Файл «Сравнение заявок_световое </w:t>
      </w:r>
      <w:r>
        <w:rPr>
          <w:rStyle w:val="CharStyle19"/>
          <w:i/>
          <w:iCs/>
          <w:lang w:val="en-US" w:eastAsia="en-US"/>
        </w:rPr>
        <w:t xml:space="preserve">оборудование.xls» </w:t>
      </w:r>
      <w:r>
        <w:rPr>
          <w:rStyle w:val="CharStyle19"/>
          <w:i/>
          <w:iCs/>
        </w:rPr>
        <w:t>прилагается.</w:t>
      </w:r>
      <w:bookmarkEnd w:id="113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15" w:name="bookmark115"/>
      <w:r>
        <w:rPr>
          <w:rStyle w:val="CharStyle19"/>
          <w:i/>
          <w:iCs/>
        </w:rPr>
        <w:t xml:space="preserve">В настоящее время распространена практика производства светового оборудования под собственным брендом и под характеристики заказчика. По данным из открытых источников, например, компания </w:t>
      </w:r>
      <w:r>
        <w:rPr>
          <w:rStyle w:val="CharStyle19"/>
          <w:i/>
          <w:iCs/>
          <w:lang w:val="en-US" w:eastAsia="en-US"/>
        </w:rPr>
        <w:t xml:space="preserve">Light Craft </w:t>
      </w:r>
      <w:r>
        <w:rPr>
          <w:rStyle w:val="CharStyle19"/>
          <w:i/>
          <w:iCs/>
        </w:rPr>
        <w:t xml:space="preserve">готовит спецификацию и чертежи для световых приборов, создает собственное оборудование, производит на заказ </w:t>
      </w:r>
      <w:r>
        <w:rPr>
          <w:rStyle w:val="CharStyle19"/>
          <w:i/>
          <w:iCs/>
          <w:lang w:val="en-US" w:eastAsia="en-US"/>
        </w:rPr>
        <w:t>(</w:t>
      </w:r>
      <w:r>
        <w:fldChar w:fldCharType="begin"/>
      </w:r>
      <w:r>
        <w:rPr/>
        <w:instrText> HYPERLINK "https://light-craft.ru/" </w:instrText>
      </w:r>
      <w:r>
        <w:fldChar w:fldCharType="separate"/>
      </w:r>
      <w:r>
        <w:rPr>
          <w:rStyle w:val="CharStyle19"/>
          <w:i/>
          <w:iCs/>
          <w:lang w:val="en-US" w:eastAsia="en-US"/>
        </w:rPr>
        <w:t>https://light-craft.ru/</w:t>
      </w:r>
      <w:r>
        <w:fldChar w:fldCharType="end"/>
      </w:r>
      <w:r>
        <w:rPr>
          <w:rStyle w:val="CharStyle19"/>
          <w:i/>
          <w:iCs/>
          <w:lang w:val="en-US" w:eastAsia="en-US"/>
        </w:rPr>
        <w:t xml:space="preserve"> ).</w:t>
      </w:r>
      <w:bookmarkEnd w:id="115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17" w:name="bookmark117"/>
      <w:r>
        <w:rPr>
          <w:rStyle w:val="CharStyle19"/>
          <w:i/>
          <w:iCs/>
        </w:rPr>
        <w:t>Поступившие предложения на запрос котировок от поставщиков являются примером таких решений:</w:t>
      </w:r>
      <w:bookmarkEnd w:id="117"/>
    </w:p>
    <w:p>
      <w:pPr>
        <w:pStyle w:val="Style18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876" w:val="left"/>
        </w:tabs>
        <w:bidi w:val="0"/>
        <w:spacing w:before="0" w:after="0" w:line="240" w:lineRule="auto"/>
        <w:ind w:left="0" w:right="0" w:firstLine="660"/>
        <w:jc w:val="both"/>
      </w:pPr>
      <w:bookmarkStart w:id="119" w:name="bookmark119"/>
      <w:r>
        <w:rPr>
          <w:rStyle w:val="CharStyle19"/>
          <w:i/>
          <w:iCs/>
        </w:rPr>
        <w:t xml:space="preserve">световое оборудование </w:t>
      </w:r>
      <w:r>
        <w:rPr>
          <w:rStyle w:val="CharStyle19"/>
          <w:i/>
          <w:iCs/>
          <w:lang w:val="en-US" w:eastAsia="en-US"/>
        </w:rPr>
        <w:t xml:space="preserve">SHOWLEE </w:t>
      </w:r>
      <w:r>
        <w:rPr>
          <w:rStyle w:val="CharStyle19"/>
          <w:i/>
          <w:iCs/>
        </w:rPr>
        <w:t xml:space="preserve">представляет российская компания под собственным брендом (данные с официального сайта компании </w:t>
      </w:r>
      <w:r>
        <w:fldChar w:fldCharType="begin"/>
      </w:r>
      <w:r>
        <w:rPr/>
        <w:instrText> HYPERLINK "https://showlee.ru/" </w:instrText>
      </w:r>
      <w:r>
        <w:fldChar w:fldCharType="separate"/>
      </w:r>
      <w:r>
        <w:rPr>
          <w:rStyle w:val="CharStyle19"/>
          <w:i/>
          <w:iCs/>
          <w:lang w:val="en-US" w:eastAsia="en-US"/>
        </w:rPr>
        <w:t>https://showlee.ru/</w:t>
      </w:r>
      <w:r>
        <w:fldChar w:fldCharType="end"/>
      </w:r>
      <w:r>
        <w:rPr>
          <w:rStyle w:val="CharStyle19"/>
          <w:i/>
          <w:iCs/>
          <w:lang w:val="en-US" w:eastAsia="en-US"/>
        </w:rPr>
        <w:t>);</w:t>
      </w:r>
      <w:bookmarkEnd w:id="119"/>
    </w:p>
    <w:p>
      <w:pPr>
        <w:pStyle w:val="Style18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886" w:val="left"/>
        </w:tabs>
        <w:bidi w:val="0"/>
        <w:spacing w:before="0" w:after="0" w:line="240" w:lineRule="auto"/>
        <w:ind w:left="0" w:right="0" w:firstLine="660"/>
        <w:jc w:val="both"/>
      </w:pPr>
      <w:bookmarkStart w:id="121" w:name="bookmark121"/>
      <w:r>
        <w:rPr>
          <w:rStyle w:val="CharStyle19"/>
          <w:i/>
          <w:iCs/>
        </w:rPr>
        <w:t xml:space="preserve">второй поставщик светового оборудования предлагает решение, под торговой маркой зарегистрированной на территории РФ (по данным сервиса РБК </w:t>
      </w:r>
      <w:r>
        <w:rPr>
          <w:rStyle w:val="CharStyle19"/>
          <w:i/>
          <w:iCs/>
          <w:lang w:val="en-US" w:eastAsia="en-US"/>
        </w:rPr>
        <w:t>(</w:t>
      </w:r>
      <w:r>
        <w:fldChar w:fldCharType="begin"/>
      </w:r>
      <w:r>
        <w:rPr/>
        <w:instrText> HYPERLINK "https://companies.rbc.ru/trademark/996668/artlumix/?ysclid=mf5c633tfv840136703" </w:instrText>
      </w:r>
      <w:r>
        <w:fldChar w:fldCharType="separate"/>
      </w:r>
      <w:r>
        <w:rPr>
          <w:rStyle w:val="CharStyle19"/>
          <w:i/>
          <w:iCs/>
          <w:lang w:val="en-US" w:eastAsia="en-US"/>
        </w:rPr>
        <w:t>https://companies.rbc.ru/trademark/996668/artlumix/?ysclid=mf5c633tfv840136703</w:t>
      </w:r>
      <w:r>
        <w:fldChar w:fldCharType="end"/>
      </w:r>
      <w:r>
        <w:rPr>
          <w:rStyle w:val="CharStyle19"/>
          <w:i/>
          <w:iCs/>
          <w:lang w:val="en-US" w:eastAsia="en-US"/>
        </w:rPr>
        <w:t xml:space="preserve">) </w:t>
      </w:r>
      <w:r>
        <w:rPr>
          <w:rStyle w:val="CharStyle19"/>
          <w:i/>
          <w:iCs/>
        </w:rPr>
        <w:t xml:space="preserve">и Сервиса проверки контрагентов </w:t>
      </w:r>
      <w:r>
        <w:rPr>
          <w:rStyle w:val="CharStyle19"/>
          <w:i/>
          <w:iCs/>
          <w:lang w:val="en-US" w:eastAsia="en-US"/>
        </w:rPr>
        <w:t>list-</w:t>
      </w:r>
      <w:r>
        <w:rPr>
          <w:rStyle w:val="CharStyle19"/>
          <w:i/>
          <w:iCs/>
          <w:lang w:val="en-US" w:eastAsia="en-US"/>
        </w:rPr>
        <w:t>org.com</w:t>
      </w:r>
      <w:r>
        <w:rPr>
          <w:rStyle w:val="CharStyle19"/>
          <w:i/>
          <w:iCs/>
          <w:lang w:val="en-US" w:eastAsia="en-US"/>
        </w:rPr>
        <w:t xml:space="preserve"> (</w:t>
      </w:r>
      <w:r>
        <w:fldChar w:fldCharType="begin"/>
      </w:r>
      <w:r>
        <w:rPr/>
        <w:instrText> HYPERLINK "https://www.list-org.com/trademark/996668?ysclid=mf5c6mpduz263269482)%c2%bb" </w:instrText>
      </w:r>
      <w:r>
        <w:fldChar w:fldCharType="separate"/>
      </w:r>
      <w:r>
        <w:rPr>
          <w:rStyle w:val="CharStyle19"/>
          <w:i/>
          <w:iCs/>
          <w:lang w:val="en-US" w:eastAsia="en-US"/>
        </w:rPr>
        <w:t>https://www.list-org.com/trademark/996668?ysclid=mf5c6mpduz263269482)</w:t>
      </w:r>
      <w:r>
        <w:rPr>
          <w:rStyle w:val="CharStyle19"/>
          <w:lang w:val="en-US" w:eastAsia="en-US"/>
        </w:rPr>
        <w:t>»</w:t>
      </w:r>
      <w:r>
        <w:fldChar w:fldCharType="end"/>
      </w:r>
      <w:r>
        <w:rPr>
          <w:rStyle w:val="CharStyle19"/>
          <w:lang w:val="en-US" w:eastAsia="en-US"/>
        </w:rPr>
        <w:t>.</w:t>
      </w:r>
      <w:bookmarkEnd w:id="121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23" w:name="bookmark123"/>
      <w:r>
        <w:rPr>
          <w:rStyle w:val="CharStyle19"/>
        </w:rPr>
        <w:t xml:space="preserve">Принимая во внимание информацию о производителях оборудования, которое соответствует требованиям описания объекта закупки, предоставленную Заказчиком в виде Приложения к Возражению на жалобу (см. Таблицу), Комиссия УФАС признает доводы </w:t>
      </w:r>
      <w:r>
        <w:rPr>
          <w:rStyle w:val="CharStyle19"/>
          <w:lang w:val="en-US" w:eastAsia="en-US"/>
        </w:rPr>
        <w:t xml:space="preserve">№1, 2, 4 - </w:t>
      </w:r>
      <w:r>
        <w:rPr>
          <w:rStyle w:val="CharStyle19"/>
          <w:b/>
          <w:bCs/>
        </w:rPr>
        <w:t>необоснованными</w:t>
      </w:r>
      <w:r>
        <w:rPr>
          <w:rStyle w:val="CharStyle19"/>
        </w:rPr>
        <w:t>.</w:t>
      </w:r>
      <w:bookmarkEnd w:id="123"/>
      <w:r>
        <w:br w:type="page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bookmarkStart w:id="125" w:name="bookmark125"/>
      <w:r>
        <w:rPr>
          <w:rStyle w:val="CharStyle19"/>
          <w:sz w:val="24"/>
          <w:szCs w:val="24"/>
        </w:rPr>
        <w:t xml:space="preserve">Таблица сравнения характеристик светового оборудования </w:t>
      </w:r>
      <w:r>
        <w:rPr>
          <w:rStyle w:val="CharStyle19"/>
          <w:sz w:val="24"/>
          <w:szCs w:val="24"/>
          <w:lang w:val="en-US" w:eastAsia="en-US"/>
        </w:rPr>
        <w:t xml:space="preserve">Artlumix </w:t>
      </w:r>
      <w:r>
        <w:rPr>
          <w:rStyle w:val="CharStyle19"/>
          <w:sz w:val="24"/>
          <w:szCs w:val="24"/>
        </w:rPr>
        <w:t xml:space="preserve">и </w:t>
      </w:r>
      <w:r>
        <w:rPr>
          <w:rStyle w:val="CharStyle19"/>
          <w:sz w:val="24"/>
          <w:szCs w:val="24"/>
          <w:lang w:val="en-US" w:eastAsia="en-US"/>
        </w:rPr>
        <w:t>Showlee</w:t>
      </w:r>
      <w:bookmarkEnd w:id="125"/>
    </w:p>
    <w:tbl>
      <w:tblPr>
        <w:tblOverlap w:val="never"/>
        <w:jc w:val="center"/>
        <w:tblLayout w:type="fixed"/>
      </w:tblPr>
      <w:tblGrid>
        <w:gridCol w:w="523"/>
        <w:gridCol w:w="3274"/>
        <w:gridCol w:w="1699"/>
        <w:gridCol w:w="1138"/>
        <w:gridCol w:w="1699"/>
        <w:gridCol w:w="1565"/>
      </w:tblGrid>
      <w:tr>
        <w:trPr>
          <w:trHeight w:val="79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3"/>
                <w:sz w:val="20"/>
                <w:szCs w:val="20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Единица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Наименование модели/ производителя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Наименование модели/ производителя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-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Artlumix-AL- LP-018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Showlee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Верхняя граница диапазона 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40.0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4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4,1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коммутации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both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линейного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Высота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250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251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Глубина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200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250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235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Класс защиты светильника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IP65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IP65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вспышек в режиме стробоскопа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18.0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Количество каналов </w:t>
            </w:r>
            <w:r>
              <w:rPr>
                <w:rStyle w:val="CharStyle3"/>
                <w:lang w:val="en-US" w:eastAsia="en-US"/>
              </w:rPr>
              <w:t>DMX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≥ 5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светодиодов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15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</w:t>
            </w: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Конструктивные особенности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both"/>
            </w:pPr>
            <w:r>
              <w:rPr>
                <w:rStyle w:val="CharStyle3"/>
              </w:rPr>
              <w:t>Наличие дисплея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Наличие дисплея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Наличие дисплея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Мощность одного светодиода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Общая мощность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300.0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360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Потребляемая мощность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400.0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Протокол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Система управления цветосмешением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Аддитивная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Аддитивная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rStyle w:val="CharStyle3"/>
              </w:rPr>
              <w:t>Аддитивная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Способ установки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источника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PAR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PAR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PAR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светораспределения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Симметричное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системы охлаждения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 (принудительное)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 (принудительное)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</w:rPr>
              <w:t xml:space="preserve">Активная (принудительное </w:t>
            </w:r>
            <w:r>
              <w:rPr>
                <w:rStyle w:val="CharStyle3"/>
                <w:sz w:val="20"/>
                <w:szCs w:val="20"/>
                <w:vertAlign w:val="superscript"/>
                <w:lang w:val="en-US" w:eastAsia="en-US"/>
              </w:rPr>
              <w:t>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порта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Фиксированный угол раскрытия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&lt; 50.0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</w:tr>
      <w:tr>
        <w:trPr>
          <w:trHeight w:val="9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 излучения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(R)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(R)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(R)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Ширина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250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295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251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rFonts w:ascii="Calibri" w:eastAsia="Calibri" w:hAnsi="Calibri" w:cs="Calibri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Artlumix-AL- MH-034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Showlee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Верхняя граница диапазона 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40.0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3274"/>
        <w:gridCol w:w="1699"/>
        <w:gridCol w:w="1138"/>
        <w:gridCol w:w="1699"/>
        <w:gridCol w:w="1565"/>
      </w:tblGrid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12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16,65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коммутации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линейного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Возможность обновления и загрузки данных калибровки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Нет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Высота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250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290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299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Глубина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200.0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114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Класс защиты светильника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вспышек в режиме стробоскопа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12.0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12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Количество каналов </w:t>
            </w:r>
            <w:r>
              <w:rPr>
                <w:rStyle w:val="CharStyle3"/>
                <w:lang w:val="en-US" w:eastAsia="en-US"/>
              </w:rPr>
              <w:t>DMX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52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светодиодов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10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12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</w:tr>
      <w:tr>
        <w:trPr>
          <w:trHeight w:val="12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Конструктивные особенности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Индивидуальное управление каждым источником света Наличие дисплея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Индивидуальное управление каждым источником света Наличие дисплея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Индивидуальное управление каждым источником света Наличие дисплея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Мощность одного светодиода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40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Нижняя граница диапазона 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Общая мощность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400.0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480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Потребляемая мощность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600.0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Протокол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Световые эффекты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Многолучевой эффект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Многолучевой эффект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Многолучевой эффект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Система управления цветосмешением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Аддитивная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Аддитивная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Аддитивная</w:t>
            </w:r>
          </w:p>
        </w:tc>
      </w:tr>
      <w:tr>
        <w:trPr>
          <w:trHeight w:val="12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Системы безопасности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Отключение вращения прибора при включении (тестовый режим)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Отключение вращения прибора при включении (тестовый режим)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Отключение вращения прибора при включении (тестовый режим)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Способ установки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источника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Линейный </w:t>
            </w:r>
            <w:r>
              <w:rPr>
                <w:rStyle w:val="CharStyle3"/>
                <w:lang w:val="en-US" w:eastAsia="en-US"/>
              </w:rPr>
              <w:t>(BAR)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Линейный </w:t>
            </w:r>
            <w:r>
              <w:rPr>
                <w:rStyle w:val="CharStyle3"/>
                <w:lang w:val="en-US" w:eastAsia="en-US"/>
              </w:rPr>
              <w:t>(BAR)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Линейный </w:t>
            </w:r>
            <w:r>
              <w:rPr>
                <w:rStyle w:val="CharStyle3"/>
                <w:lang w:val="en-US" w:eastAsia="en-US"/>
              </w:rPr>
              <w:t>(BAR)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светораспределения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системы охлаждения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Комбинированная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Комбинированная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Комбинированна я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порта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Угол поворота по вертикали </w:t>
            </w:r>
            <w:r>
              <w:rPr>
                <w:rStyle w:val="CharStyle3"/>
                <w:lang w:val="en-US" w:eastAsia="en-US"/>
              </w:rPr>
              <w:t>(Tilt)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rStyle w:val="CharStyle3"/>
                <w:lang w:val="en-US" w:eastAsia="en-US"/>
              </w:rPr>
              <w:t xml:space="preserve">≥ 255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275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270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Фиксированный угол раскрытия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≥ 30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3274"/>
        <w:gridCol w:w="1699"/>
        <w:gridCol w:w="1138"/>
        <w:gridCol w:w="1699"/>
        <w:gridCol w:w="1565"/>
      </w:tblGrid>
      <w:tr>
        <w:trPr>
          <w:trHeight w:val="9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Цвет излучения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(R)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(R)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(R)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Ширина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&gt; 300.0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1090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350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rFonts w:ascii="Calibri" w:eastAsia="Calibri" w:hAnsi="Calibri" w:cs="Calibri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Artlumix-AL- MH-330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Showlee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Верхняя граница диапазона 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30.0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38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Верхняя граница диапазона цветовой температуры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7000.0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Кельвин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7000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7000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&gt; 18.0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19,5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18,5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коммутации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линейного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Возможность обновления и загрузки данных калибровки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Да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Высота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500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568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Глубина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&gt; 300.0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337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Диаметр фронтальной линзы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120.0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120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Индекс цветопередачи, </w:t>
            </w:r>
            <w:r>
              <w:rPr>
                <w:rStyle w:val="CharStyle3"/>
                <w:lang w:val="en-US" w:eastAsia="en-US"/>
              </w:rPr>
              <w:t>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70.0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70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Класс защиты светильника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вращающихся призм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вспышек в режиме стробоскопа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граней вращающейся призмы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8.0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1.0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Количество каналов </w:t>
            </w:r>
            <w:r>
              <w:rPr>
                <w:rStyle w:val="CharStyle3"/>
                <w:lang w:val="en-US" w:eastAsia="en-US"/>
              </w:rPr>
              <w:t>DMX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24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светодиодов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фрост-фильтров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1.0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</w:tr>
      <w:tr>
        <w:trPr>
          <w:trHeight w:val="12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 Струбцины, встроенные в корпус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 Струбцины, встроенные в корпус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 Струбцины, встроенные в корпус</w:t>
            </w:r>
          </w:p>
        </w:tc>
      </w:tr>
      <w:tr>
        <w:trPr>
          <w:trHeight w:val="10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Конструктивные особенности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Моторизированны й зум Наличие дисплея Самодиагностика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Моторизированны й зум Наличие дисплея Самодиагностика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Моторизированн ый зум Наличие дисплея Самодиагностик а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Материал изготовления струбцины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Сталь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Сталь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Сталь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Мощность одного светодиода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300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Нижняя граница диапазона 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3.0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Нижняя граница диапазона цветовой температуры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4000.0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Кельвин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3200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Общая мощность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300.0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Общее количество вращающихся трафаретов (гобо)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8.0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8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Общее количество статичных трафаретов (гобо)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12.0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13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16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3274"/>
        <w:gridCol w:w="1699"/>
        <w:gridCol w:w="1138"/>
        <w:gridCol w:w="1699"/>
        <w:gridCol w:w="1565"/>
      </w:tblGrid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Общее количество цветов на колесах цвета с цветными светофильтрами (без учета белого)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13.0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13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Потребляемая мощность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400.0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340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Протокол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Световой поток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4000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6000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Люмен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6000</w:t>
            </w:r>
          </w:p>
        </w:tc>
      </w:tr>
      <w:tr>
        <w:trPr>
          <w:trHeight w:val="10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Световые эффекты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Эффект фрост Однолучевой эффект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Многолучевой эффект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Эффект фрост Однолучевой эффект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Многолучевой эффект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Эффект фрост Однолучевой эффект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Многолучевой эффект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Система управления цветосмешением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Субтрактивная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Субтрактивная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Субтрактивная</w:t>
            </w:r>
          </w:p>
        </w:tc>
      </w:tr>
      <w:tr>
        <w:trPr>
          <w:trHeight w:val="3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Системы безопасности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Блокировка системы поворотов при транспортировке Ограничение углов поворота по горизонтали и вертикали в рабочем режиме </w:t>
            </w:r>
            <w:r>
              <w:rPr>
                <w:rStyle w:val="CharStyle3"/>
                <w:lang w:val="en-US" w:eastAsia="en-US"/>
              </w:rPr>
              <w:t xml:space="preserve">(Pan/Tilt) </w:t>
            </w:r>
            <w:r>
              <w:rPr>
                <w:rStyle w:val="CharStyle3"/>
              </w:rPr>
              <w:t>Отключение вращения прибора при включении (тестовый режим)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Блокировка системы поворотов при транспортировке Ограничение углов поворота по горизонтали и вертикали в рабочем режиме </w:t>
            </w:r>
            <w:r>
              <w:rPr>
                <w:rStyle w:val="CharStyle3"/>
                <w:lang w:val="en-US" w:eastAsia="en-US"/>
              </w:rPr>
              <w:t xml:space="preserve">(Pan/Tilt) </w:t>
            </w:r>
            <w:r>
              <w:rPr>
                <w:rStyle w:val="CharStyle3"/>
              </w:rPr>
              <w:t>Отключение вращения прибора при включении (тестовый режим)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Блокировка системы поворотов при транспортировке Ограничение углов поворота по горизонтали и вертикали в рабочем режиме </w:t>
            </w:r>
            <w:r>
              <w:rPr>
                <w:rStyle w:val="CharStyle3"/>
                <w:lang w:val="en-US" w:eastAsia="en-US"/>
              </w:rPr>
              <w:t xml:space="preserve">(Pan/Tilt) </w:t>
            </w:r>
            <w:r>
              <w:rPr>
                <w:rStyle w:val="CharStyle3"/>
              </w:rPr>
              <w:t>Отключение вращения прибора при включении (тестовый режим)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  <w:b/>
                <w:bCs/>
              </w:rPr>
              <w:t>Способ установки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источника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Полноповоротный </w:t>
            </w:r>
            <w:r>
              <w:rPr>
                <w:rStyle w:val="CharStyle3"/>
                <w:lang w:val="en-US" w:eastAsia="en-US"/>
              </w:rPr>
              <w:t>WASH, BEAM, SPOT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Полноповоротный </w:t>
            </w:r>
            <w:r>
              <w:rPr>
                <w:rStyle w:val="CharStyle3"/>
                <w:lang w:val="en-US" w:eastAsia="en-US"/>
              </w:rPr>
              <w:t>WASH, BEAM, SPOT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Полноповоротны й </w:t>
            </w:r>
            <w:r>
              <w:rPr>
                <w:rStyle w:val="CharStyle3"/>
                <w:lang w:val="en-US" w:eastAsia="en-US"/>
              </w:rPr>
              <w:t>WASH, BEAM, SPOT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светораспределения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системы охлаждения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Комбинированная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Комбинированная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Комбинированна я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порта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Угол поворота по вертикали </w:t>
            </w:r>
            <w:r>
              <w:rPr>
                <w:rStyle w:val="CharStyle3"/>
                <w:lang w:val="en-US" w:eastAsia="en-US"/>
              </w:rPr>
              <w:t>(Tilt)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≥ 255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275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270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Угол поворота по горизонтали </w:t>
            </w:r>
            <w:r>
              <w:rPr>
                <w:rStyle w:val="CharStyle3"/>
                <w:lang w:val="en-US" w:eastAsia="en-US"/>
              </w:rPr>
              <w:t>(Pan)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530.0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540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Угол раскрытия луча, на котором освещенность соответствует требуемому уровню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&lt; 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Фиксированный угол раскрытия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≥ 30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38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Фильтр корректировки цветовой температуры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CTO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 излучения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 струбцины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Ширина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200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250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"/>
                <w:rFonts w:ascii="Calibri" w:eastAsia="Calibri" w:hAnsi="Calibri" w:cs="Calibri"/>
                <w:sz w:val="22"/>
                <w:szCs w:val="22"/>
                <w:lang w:val="en-US" w:eastAsia="en-US"/>
              </w:rPr>
              <w:t>250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rFonts w:ascii="Calibri" w:eastAsia="Calibri" w:hAnsi="Calibri" w:cs="Calibri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Artlumix-AL- SL-200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Showlee PRO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FRESNEL 200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3274"/>
        <w:gridCol w:w="1699"/>
        <w:gridCol w:w="1138"/>
        <w:gridCol w:w="1699"/>
        <w:gridCol w:w="1565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RGBW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Верхняя граница диапазона 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50.0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8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8,1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коммутации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</w:tr>
      <w:tr>
        <w:trPr>
          <w:trHeight w:val="10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управления со встроенного пульта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диммером Управление режимом стробирования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диммером Управление режимом стробирования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диммером Управление режимом стробирования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Индекс цветопередачи, </w:t>
            </w:r>
            <w:r>
              <w:rPr>
                <w:rStyle w:val="CharStyle3"/>
                <w:lang w:val="en-US" w:eastAsia="en-US"/>
              </w:rPr>
              <w:t>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95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90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Класс защиты светильника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вспышек в режиме стробоскопа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1.0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Количество каналов </w:t>
            </w:r>
            <w:r>
              <w:rPr>
                <w:rStyle w:val="CharStyle3"/>
                <w:lang w:val="en-US" w:eastAsia="en-US"/>
              </w:rPr>
              <w:t>DMX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&lt; 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светодиодов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</w:t>
            </w:r>
          </w:p>
        </w:tc>
      </w:tr>
      <w:tr>
        <w:trPr>
          <w:trHeight w:val="10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Кашетирующие шторки Кабель питания Страховочный трос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Кашетирующие шторки Кабель питания Страховочный трос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Кашетирующие шторки Кабель питания Страховочный трос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Конструктивные особенности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Наличие дисплея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Наличие дисплея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Наличие дисплея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Мощность одного светодиода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200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Нижняя граница диапазона 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15.0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Общая мощность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Потребляемая мощность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200.0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Протокол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Световые эффекты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Однолучевой эффект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Однолучевой эффект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Однолучевой эффект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Способ установки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источника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 линзой Френеля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 линзой Френеля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40"/>
              <w:jc w:val="left"/>
            </w:pPr>
            <w:r>
              <w:rPr>
                <w:rStyle w:val="CharStyle3"/>
              </w:rPr>
              <w:t>С линзой Френеля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светораспределения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системы охлаждения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IEC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IEC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порта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Угол раскрытия луча, на котором освещенность соответствует требуемому уровню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≥ 10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Фиксированный угол раскрытия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≥ 50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 излучения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>(W)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Холодный белый </w:t>
            </w:r>
            <w:r>
              <w:rPr>
                <w:rStyle w:val="CharStyle3"/>
                <w:lang w:val="en-US" w:eastAsia="en-US"/>
              </w:rPr>
              <w:t>(CW)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Холодный белый </w:t>
            </w:r>
            <w:r>
              <w:rPr>
                <w:rStyle w:val="CharStyle3"/>
                <w:lang w:val="en-US" w:eastAsia="en-US"/>
              </w:rPr>
              <w:t>(CW)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Холодный белый </w:t>
            </w:r>
            <w:r>
              <w:rPr>
                <w:rStyle w:val="CharStyle3"/>
                <w:lang w:val="en-US" w:eastAsia="en-US"/>
              </w:rPr>
              <w:t>(CW)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rFonts w:ascii="Calibri" w:eastAsia="Calibri" w:hAnsi="Calibri" w:cs="Calibri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Artlumix-AL- MH-027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Showlee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Верхняя граница диапазона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60.0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3274"/>
        <w:gridCol w:w="1699"/>
        <w:gridCol w:w="1138"/>
        <w:gridCol w:w="1699"/>
        <w:gridCol w:w="1565"/>
      </w:tblGrid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Вес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 xml:space="preserve">&gt; 8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8.0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8,5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11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коммутации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линейного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управления со встроенного пульта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диммером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диммером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диммером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режимом стробирования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режимом стробирования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Управление режимом стробирования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Высота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rStyle w:val="CharStyle3"/>
                <w:lang w:val="en-US" w:eastAsia="en-US"/>
              </w:rPr>
              <w:t xml:space="preserve">&gt; 300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≤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385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Глубина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&gt; 300.0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400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336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Класс защиты светильника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вспышек в режиме стробоскопа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36.0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36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Количество каналов </w:t>
            </w:r>
            <w:r>
              <w:rPr>
                <w:rStyle w:val="CharStyle3"/>
                <w:lang w:val="en-US" w:eastAsia="en-US"/>
              </w:rPr>
              <w:t>DMX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rStyle w:val="CharStyle3"/>
                <w:lang w:val="en-US" w:eastAsia="en-US"/>
              </w:rPr>
              <w:t xml:space="preserve">≥ 15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светодиодов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&gt;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36</w:t>
            </w:r>
          </w:p>
        </w:tc>
      </w:tr>
      <w:tr>
        <w:trPr>
          <w:trHeight w:val="12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Струбцины, встроенные в корпус Страховочный трос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Струбцины, встроенные в корпус Страховочный трос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Струбцины, встроенные в корпус Страховочный трос</w:t>
            </w:r>
          </w:p>
        </w:tc>
      </w:tr>
      <w:tr>
        <w:trPr>
          <w:trHeight w:val="105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Конструктивные особенности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Наличие дисплея Моторизированны й зум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Самодиагностика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Наличие дисплея Моторизированны й зум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Самодиагностика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Наличие дисплея Моторизированн ый зум Самодиагностик а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Материал изготовления струбцины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Сталь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Сталь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Сталь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Мощность одного светодиода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rStyle w:val="CharStyle3"/>
                <w:lang w:val="en-US" w:eastAsia="en-US"/>
              </w:rPr>
              <w:t xml:space="preserve">≥ 15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18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Нижняя граница диапазона регулировки раскрытия светового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10.0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Общая мощность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600.0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648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648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Потребляемая мощность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800.0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550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Протокол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Система управления цветосмешением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rStyle w:val="CharStyle3"/>
              </w:rPr>
              <w:t>Аддитивная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Аддитивная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rStyle w:val="CharStyle3"/>
              </w:rPr>
              <w:t>Аддитивная</w:t>
            </w:r>
          </w:p>
        </w:tc>
      </w:tr>
      <w:tr>
        <w:trPr>
          <w:trHeight w:val="436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Системы безопасности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Блокировка системы поворотов при транспортировке Отключение вращения прибора при включении (тестовый режим) Отключение вращения прибора при включении (тестовый режим) Ограничение углов поворота по горизонтали и вертикали в рабочем режиме </w:t>
            </w:r>
            <w:r>
              <w:rPr>
                <w:rStyle w:val="CharStyle3"/>
                <w:lang w:val="en-US" w:eastAsia="en-US"/>
              </w:rPr>
              <w:t>(Pan/Tilt)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Блокировка системы поворотов при транспортировке Отключение вращения прибора при включении (тестовый режим) Отключение вращения прибора при включении (тестовый режим) Ограничение углов поворота по горизонтали и вертикали в рабочем режиме </w:t>
            </w:r>
            <w:r>
              <w:rPr>
                <w:rStyle w:val="CharStyle3"/>
                <w:lang w:val="en-US" w:eastAsia="en-US"/>
              </w:rPr>
              <w:t>(Pan/Tilt)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Блокировка системы поворотов при транспортировке Отключение вращения прибора при включении (тестовый режим) Отключение вращения прибора при включении (тестовый режим) Ограничение углов поворота по горизонтали и вертикали в рабочем режиме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3274"/>
        <w:gridCol w:w="1699"/>
        <w:gridCol w:w="1138"/>
        <w:gridCol w:w="1699"/>
        <w:gridCol w:w="1565"/>
      </w:tblGrid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"/>
                <w:lang w:val="en-US" w:eastAsia="en-US"/>
              </w:rPr>
              <w:t>(Pan/Tilt)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Способ установки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Подвесной монтаж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источника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"/>
              </w:rPr>
              <w:t>Светодиод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Полноповоротный </w:t>
            </w:r>
            <w:r>
              <w:rPr>
                <w:rStyle w:val="CharStyle3"/>
                <w:lang w:val="en-US" w:eastAsia="en-US"/>
              </w:rPr>
              <w:t>WASH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Полноповоротный </w:t>
            </w:r>
            <w:r>
              <w:rPr>
                <w:rStyle w:val="CharStyle3"/>
                <w:lang w:val="en-US" w:eastAsia="en-US"/>
              </w:rPr>
              <w:t>WASH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Полноповоротны й </w:t>
            </w:r>
            <w:r>
              <w:rPr>
                <w:rStyle w:val="CharStyle3"/>
                <w:lang w:val="en-US" w:eastAsia="en-US"/>
              </w:rPr>
              <w:t>WASH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светораспределения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rStyle w:val="CharStyle3"/>
              </w:rPr>
              <w:t>Симметричное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системы охлаждения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 (принудительное)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 (принудительное)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</w:rPr>
              <w:t xml:space="preserve">Активная (принудительное </w:t>
            </w:r>
            <w:r>
              <w:rPr>
                <w:rStyle w:val="CharStyle3"/>
                <w:sz w:val="20"/>
                <w:szCs w:val="20"/>
                <w:vertAlign w:val="superscript"/>
                <w:lang w:val="en-US" w:eastAsia="en-US"/>
              </w:rPr>
              <w:t>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"/>
                <w:lang w:val="en-US" w:eastAsia="en-US"/>
              </w:rPr>
              <w:t>Powercon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порта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"/>
                <w:lang w:val="en-US" w:eastAsia="en-US"/>
              </w:rPr>
              <w:t>XLR-3 pin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Угол поворота по вертикали </w:t>
            </w:r>
            <w:r>
              <w:rPr>
                <w:rStyle w:val="CharStyle3"/>
                <w:lang w:val="en-US" w:eastAsia="en-US"/>
              </w:rPr>
              <w:t>(Tilt)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rStyle w:val="CharStyle3"/>
                <w:lang w:val="en-US" w:eastAsia="en-US"/>
              </w:rPr>
              <w:t xml:space="preserve">≥ 255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275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rStyle w:val="CharStyle3"/>
                <w:lang w:val="en-US" w:eastAsia="en-US"/>
              </w:rPr>
              <w:t>270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Угол поворота по горизонтали </w:t>
            </w:r>
            <w:r>
              <w:rPr>
                <w:rStyle w:val="CharStyle3"/>
                <w:lang w:val="en-US" w:eastAsia="en-US"/>
              </w:rPr>
              <w:t>(Pan)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530.0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rStyle w:val="CharStyle3"/>
                <w:lang w:val="en-US" w:eastAsia="en-US"/>
              </w:rPr>
              <w:t>540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Фиксированный угол раскрытия луча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rStyle w:val="CharStyle3"/>
                <w:lang w:val="en-US" w:eastAsia="en-US"/>
              </w:rPr>
              <w:t xml:space="preserve">≥ 50 </w:t>
            </w:r>
            <w:r>
              <w:rPr>
                <w:rStyle w:val="CharStyle3"/>
              </w:rPr>
              <w:t xml:space="preserve">и </w:t>
            </w:r>
            <w:r>
              <w:rPr>
                <w:rStyle w:val="CharStyle3"/>
                <w:lang w:val="en-US" w:eastAsia="en-US"/>
              </w:rPr>
              <w:t>&lt; 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60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Фильтр корректировки цветовой температуры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rStyle w:val="CharStyle3"/>
                <w:lang w:val="en-US" w:eastAsia="en-US"/>
              </w:rPr>
              <w:t>CTO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"/>
              </w:rPr>
              <w:t>Черный</w:t>
            </w:r>
          </w:p>
        </w:tc>
      </w:tr>
      <w:tr>
        <w:trPr>
          <w:trHeight w:val="15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 излучения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®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 xml:space="preserve">(W) </w:t>
            </w:r>
            <w:r>
              <w:rPr>
                <w:rStyle w:val="CharStyle3"/>
              </w:rPr>
              <w:t xml:space="preserve">Янтарный </w:t>
            </w:r>
            <w:r>
              <w:rPr>
                <w:rStyle w:val="CharStyle3"/>
                <w:lang w:val="en-US" w:eastAsia="en-US"/>
              </w:rPr>
              <w:t xml:space="preserve">(A) </w:t>
            </w:r>
            <w:r>
              <w:rPr>
                <w:rStyle w:val="CharStyle3"/>
              </w:rPr>
              <w:t xml:space="preserve">Ультрафиолет </w:t>
            </w:r>
            <w:r>
              <w:rPr>
                <w:rStyle w:val="CharStyle3"/>
                <w:lang w:val="en-US" w:eastAsia="en-US"/>
              </w:rPr>
              <w:t>(UV)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®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 xml:space="preserve">(W) </w:t>
            </w:r>
            <w:r>
              <w:rPr>
                <w:rStyle w:val="CharStyle3"/>
              </w:rPr>
              <w:t xml:space="preserve">Янтарный </w:t>
            </w:r>
            <w:r>
              <w:rPr>
                <w:rStyle w:val="CharStyle3"/>
                <w:lang w:val="en-US" w:eastAsia="en-US"/>
              </w:rPr>
              <w:t xml:space="preserve">(A) </w:t>
            </w:r>
            <w:r>
              <w:rPr>
                <w:rStyle w:val="CharStyle3"/>
              </w:rPr>
              <w:t xml:space="preserve">Ультрафиолет </w:t>
            </w:r>
            <w:r>
              <w:rPr>
                <w:rStyle w:val="CharStyle3"/>
                <w:lang w:val="en-US" w:eastAsia="en-US"/>
              </w:rPr>
              <w:t>(UV)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 xml:space="preserve">® </w:t>
            </w: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Белый </w:t>
            </w:r>
            <w:r>
              <w:rPr>
                <w:rStyle w:val="CharStyle3"/>
                <w:lang w:val="en-US" w:eastAsia="en-US"/>
              </w:rPr>
              <w:t xml:space="preserve">(W) </w:t>
            </w:r>
            <w:r>
              <w:rPr>
                <w:rStyle w:val="CharStyle3"/>
              </w:rPr>
              <w:t xml:space="preserve">Янтарный </w:t>
            </w:r>
            <w:r>
              <w:rPr>
                <w:rStyle w:val="CharStyle3"/>
                <w:lang w:val="en-US" w:eastAsia="en-US"/>
              </w:rPr>
              <w:t xml:space="preserve">(A) </w:t>
            </w:r>
            <w:r>
              <w:rPr>
                <w:rStyle w:val="CharStyle3"/>
              </w:rPr>
              <w:t xml:space="preserve">Ультрафиолет </w:t>
            </w:r>
            <w:r>
              <w:rPr>
                <w:rStyle w:val="CharStyle3"/>
                <w:lang w:val="en-US" w:eastAsia="en-US"/>
              </w:rPr>
              <w:t>(UV)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 струбцины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"/>
              </w:rPr>
              <w:t>Черный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Ширина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&gt; 300.0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310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rStyle w:val="CharStyle3"/>
                <w:lang w:val="en-US" w:eastAsia="en-US"/>
              </w:rPr>
              <w:t>385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rFonts w:ascii="Calibri" w:eastAsia="Calibri" w:hAnsi="Calibri" w:cs="Calibri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DEBF7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Artlumix-AL- SL-019B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DEBF7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Showlee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коммутации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Выход </w:t>
            </w:r>
            <w:r>
              <w:rPr>
                <w:rStyle w:val="CharStyle3"/>
                <w:lang w:val="en-US" w:eastAsia="en-US"/>
              </w:rPr>
              <w:t>DMX thru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Вид линейного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Управление фильтром </w:t>
            </w:r>
            <w:r>
              <w:rPr>
                <w:rStyle w:val="CharStyle3"/>
                <w:lang w:val="en-US" w:eastAsia="en-US"/>
              </w:rPr>
              <w:t>CTO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Класс защиты светильника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rStyle w:val="CharStyle3"/>
                <w:lang w:val="en-US" w:eastAsia="en-US"/>
              </w:rPr>
              <w:t>IP20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вспышек в режиме стробоскопа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"/>
                <w:lang w:val="en-US" w:eastAsia="en-US"/>
              </w:rPr>
              <w:t>25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6.0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"/>
                <w:lang w:val="en-US" w:eastAsia="en-US"/>
              </w:rPr>
              <w:t>6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 xml:space="preserve">Количество каналов </w:t>
            </w:r>
            <w:r>
              <w:rPr>
                <w:rStyle w:val="CharStyle3"/>
                <w:lang w:val="en-US" w:eastAsia="en-US"/>
              </w:rPr>
              <w:t>DMX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rStyle w:val="CharStyle3"/>
                <w:lang w:val="en-US" w:eastAsia="en-US"/>
              </w:rPr>
              <w:t>114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Количество светодиодов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rStyle w:val="CharStyle3"/>
                <w:lang w:val="en-US" w:eastAsia="en-US"/>
              </w:rPr>
              <w:t>114</w:t>
            </w: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Комплектация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Кабель питания Страховочный трос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Конструктивные особенности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"/>
              </w:rPr>
              <w:t>Наличие дисплея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Наличие дисплея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Наличие дисплея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Мощность одного светодиода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20.0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rStyle w:val="CharStyle3"/>
                <w:lang w:val="en-US" w:eastAsia="en-US"/>
              </w:rPr>
              <w:t>100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Общая мощность источников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≥ 800.0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rStyle w:val="CharStyle3"/>
                <w:lang w:val="en-US" w:eastAsia="en-US"/>
              </w:rPr>
              <w:t>800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Потребляемая мощность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≤ 1200.0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Ватт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1200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"/>
                <w:lang w:val="en-US" w:eastAsia="en-US"/>
              </w:rPr>
              <w:t>1200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Протокол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"/>
                <w:lang w:val="en-US" w:eastAsia="en-US"/>
              </w:rPr>
              <w:t>DMX512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Система управления цветосмешением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Аддитивная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Аддитивная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rStyle w:val="CharStyle3"/>
              </w:rPr>
              <w:t>Аддитивная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Способ установки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Установка на треногу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Установка на треногу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Установка на треногу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23"/>
        <w:gridCol w:w="3274"/>
        <w:gridCol w:w="1699"/>
        <w:gridCol w:w="1138"/>
        <w:gridCol w:w="1699"/>
        <w:gridCol w:w="1565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источника света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Светодиод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PAR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PAR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PAR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светораспределения прожектора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Симметричное</w:t>
            </w:r>
          </w:p>
        </w:tc>
      </w:tr>
      <w:tr>
        <w:trPr>
          <w:trHeight w:val="6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системы охлаждения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 (принудительное)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Активная (принудительное)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</w:rPr>
              <w:t xml:space="preserve">Активная (принудительное </w:t>
            </w:r>
            <w:r>
              <w:rPr>
                <w:rStyle w:val="CharStyle3"/>
                <w:sz w:val="20"/>
                <w:szCs w:val="20"/>
                <w:vertAlign w:val="superscript"/>
                <w:lang w:val="en-US" w:eastAsia="en-US"/>
              </w:rPr>
              <w:t>)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IEC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IEC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Тип соединителя порта управления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XLR-3 pin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  <w:lang w:val="en-US" w:eastAsia="en-US"/>
              </w:rPr>
              <w:t>XLR-5 pin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>Черный</w:t>
            </w:r>
          </w:p>
        </w:tc>
      </w:tr>
      <w:tr>
        <w:trPr>
          <w:trHeight w:val="10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"/>
              </w:rPr>
              <w:t>Цвет излучения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>(R)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>(G)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Холодный белый </w:t>
            </w:r>
            <w:r>
              <w:rPr>
                <w:rStyle w:val="CharStyle3"/>
                <w:lang w:val="en-US" w:eastAsia="en-US"/>
              </w:rPr>
              <w:t>(CW)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>(R)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 xml:space="preserve">(G) </w:t>
            </w: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Холодный белый </w:t>
            </w:r>
            <w:r>
              <w:rPr>
                <w:rStyle w:val="CharStyle3"/>
                <w:lang w:val="en-US" w:eastAsia="en-US"/>
              </w:rPr>
              <w:t>(CW)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Красный </w:t>
            </w:r>
            <w:r>
              <w:rPr>
                <w:rStyle w:val="CharStyle3"/>
                <w:lang w:val="en-US" w:eastAsia="en-US"/>
              </w:rPr>
              <w:t>(R)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Зеленый </w:t>
            </w:r>
            <w:r>
              <w:rPr>
                <w:rStyle w:val="CharStyle3"/>
                <w:lang w:val="en-US" w:eastAsia="en-US"/>
              </w:rPr>
              <w:t>(G)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"/>
              </w:rPr>
              <w:t xml:space="preserve">Синий </w:t>
            </w:r>
            <w:r>
              <w:rPr>
                <w:rStyle w:val="CharStyle3"/>
                <w:lang w:val="en-US" w:eastAsia="en-US"/>
              </w:rPr>
              <w:t xml:space="preserve">(B) </w:t>
            </w:r>
            <w:r>
              <w:rPr>
                <w:rStyle w:val="CharStyle3"/>
              </w:rPr>
              <w:t xml:space="preserve">Холодный белый </w:t>
            </w:r>
            <w:r>
              <w:rPr>
                <w:rStyle w:val="CharStyle3"/>
                <w:lang w:val="en-US" w:eastAsia="en-US"/>
              </w:rPr>
              <w:t>(CW)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bookmarkStart w:id="127" w:name="bookmark127"/>
      <w:r>
        <w:rPr>
          <w:rStyle w:val="CharStyle19"/>
        </w:rPr>
        <w:t xml:space="preserve"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</w:t>
      </w:r>
      <w:r>
        <w:rPr>
          <w:rStyle w:val="CharStyle19"/>
          <w:lang w:val="en-US" w:eastAsia="en-US"/>
        </w:rPr>
        <w:t xml:space="preserve">№3 </w:t>
      </w:r>
      <w:r>
        <w:rPr>
          <w:rStyle w:val="CharStyle19"/>
        </w:rPr>
        <w:t xml:space="preserve">о формировании и обосновании Заказчиком начальной (максимальной) цены контракта с нарушением, Комиссией УФАС </w:t>
      </w:r>
      <w:r>
        <w:rPr>
          <w:rStyle w:val="CharStyle19"/>
          <w:b/>
          <w:bCs/>
        </w:rPr>
        <w:t>не рассматривается</w:t>
      </w:r>
      <w:r>
        <w:rPr>
          <w:rStyle w:val="CharStyle19"/>
        </w:rPr>
        <w:t>.</w:t>
      </w:r>
      <w:bookmarkEnd w:id="127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bookmarkStart w:id="129" w:name="bookmark129"/>
      <w:r>
        <w:rPr>
          <w:rStyle w:val="CharStyle19"/>
        </w:rPr>
        <w:t>Вместе с тем, в своем Возражении на жалобу Заказчик указал следующую информацию:</w:t>
      </w:r>
      <w:bookmarkEnd w:id="129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740"/>
        <w:jc w:val="both"/>
      </w:pPr>
      <w:r>
        <w:rPr>
          <w:rStyle w:val="CharStyle9"/>
          <w:sz w:val="24"/>
          <w:szCs w:val="24"/>
        </w:rPr>
        <w:t>«</w:t>
      </w:r>
      <w:r>
        <w:rPr>
          <w:rStyle w:val="CharStyle9"/>
          <w:i/>
          <w:iCs/>
        </w:rPr>
        <w:t>НМЦК сформирована на основе трёх коммерческих предложений. По каждой позиции в каждом КП предложены модели от разных производителей.</w:t>
      </w:r>
    </w:p>
    <w:tbl>
      <w:tblPr>
        <w:tblOverlap w:val="never"/>
        <w:jc w:val="center"/>
        <w:tblLayout w:type="fixed"/>
      </w:tblPr>
      <w:tblGrid>
        <w:gridCol w:w="523"/>
        <w:gridCol w:w="619"/>
        <w:gridCol w:w="2558"/>
        <w:gridCol w:w="3115"/>
        <w:gridCol w:w="3216"/>
      </w:tblGrid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3"/>
                <w:sz w:val="20"/>
                <w:szCs w:val="20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Кол- во, шт.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Наименование модели/ производителя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Наименование модели/ производителя</w:t>
            </w:r>
          </w:p>
        </w:tc>
      </w:tr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1) Artlumix-AL-LP-018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LST LED PAR 2018 IP65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MSL LED PAR 300 IP65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"Системы света и звука"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"Импорт-ЛСТ"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"ОКНО-ТВ СИБИРЬ"</w:t>
            </w:r>
          </w:p>
        </w:tc>
      </w:tr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1) Artlumix-AL-MH-034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LST LED BAR 1240 RGBW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1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MSL LED BAR RGBW 480W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"Системы света и звука"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"Импорт-ЛСТ"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"ОКНО-ТВ СИБИРЬ"</w:t>
            </w:r>
          </w:p>
        </w:tc>
      </w:tr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1) Artlumix-AL-MH-330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LST LED BSW 330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MSL-MH-330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"Системы света и звука"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"Импорт-ЛСТ"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"ОКНО-ТВ СИБИРЬ"</w:t>
            </w:r>
          </w:p>
        </w:tc>
      </w:tr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1) Artlumix-AL-SL-200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LST FRESNEL LED SPOT 200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MSL FRESNEL SPOT 200W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"Системы света и звука"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"Импорт-ЛСТ"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"ОКНО-ТВ СИБИРЬ"</w:t>
            </w:r>
          </w:p>
        </w:tc>
      </w:tr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1) Artlumix-AL-MH-027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LST LED WASH LED 3618Z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MSL WASH 3618Z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"Системы света и звука"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"Импорт-ЛСТ"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"ОКНО-ТВ СИБИРЬ"</w:t>
            </w:r>
          </w:p>
        </w:tc>
      </w:tr>
      <w:tr>
        <w:trPr>
          <w:trHeight w:val="86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Прожектор сценического освещения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b/>
                <w:bCs/>
                <w:sz w:val="20"/>
                <w:szCs w:val="20"/>
              </w:rPr>
              <w:t xml:space="preserve">Тип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1) Artlumix-AL-SL-019B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LST LED LIGHT RETRO 6</w:t>
            </w:r>
          </w:p>
          <w:p>
            <w:pPr>
              <w:pStyle w:val="Style2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22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Klaytan Hexa 6 Led RGBW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"Системы света и звука"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"Импорт-ЛСТ"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"/>
                <w:sz w:val="22"/>
                <w:szCs w:val="22"/>
              </w:rPr>
              <w:t>ООО "ОКНО-ТВ СИБИРЬ"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40"/>
        <w:jc w:val="both"/>
      </w:pPr>
      <w:r>
        <w:rPr>
          <w:rStyle w:val="CharStyle9"/>
        </w:rPr>
        <w:t xml:space="preserve">Также Комиссия УФАС отмечает, что на участие в закупке было подано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>(Четыре) заявки, которые Комиссия по осуществлению закупок Заказчика признала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соответствующими требованиям Извещения об осуществлении закупки.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/>
        <w:jc w:val="both"/>
      </w:pPr>
      <w:bookmarkStart w:id="132" w:name="bookmark132"/>
      <w:r>
        <w:rPr>
          <w:rStyle w:val="CharStyle19"/>
        </w:rPr>
        <w:t>В связи с вышеизложенным Комиссия УФАС пришла к выводу о соблюдении принципа обеспечения конкуренции при проведении рассматриваемой закупки.</w:t>
      </w:r>
      <w:bookmarkEnd w:id="13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/>
        <w:jc w:val="both"/>
      </w:pPr>
      <w:bookmarkStart w:id="134" w:name="bookmark134"/>
      <w:r>
        <w:rPr>
          <w:rStyle w:val="CharStyle19"/>
        </w:rPr>
        <w:t xml:space="preserve">Довод </w:t>
      </w:r>
      <w:r>
        <w:rPr>
          <w:rStyle w:val="CharStyle19"/>
          <w:lang w:val="en-US" w:eastAsia="en-US"/>
        </w:rPr>
        <w:t xml:space="preserve">№5 </w:t>
      </w:r>
      <w:r>
        <w:rPr>
          <w:rStyle w:val="CharStyle19"/>
        </w:rPr>
        <w:t xml:space="preserve">жалобы Заявителя </w:t>
      </w:r>
      <w:r>
        <w:rPr>
          <w:rStyle w:val="CharStyle19"/>
          <w:b/>
          <w:bCs/>
        </w:rPr>
        <w:t xml:space="preserve">не подлежит рассмотрению </w:t>
      </w:r>
      <w:r>
        <w:rPr>
          <w:rStyle w:val="CharStyle19"/>
        </w:rPr>
        <w:t>ввиду отсутствия ситуации отмены процедуры закупки.</w:t>
      </w:r>
      <w:bookmarkEnd w:id="13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9"/>
        </w:rPr>
        <w:t>Также Комиссия УФАС отмечает, что доводы Заявителя не содержат указания на конкретные действия Заказчика, которые, по мнению Заявителя, противоречат законодательству о контрактной системе, не подтверждаются приведенными данными анализа, проведенного Заявителем, во многом основаны на домыслах и носят абстрактный характер.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9"/>
        </w:rPr>
        <w:t xml:space="preserve">Руководствуясь статьями </w:t>
      </w:r>
      <w:r>
        <w:rPr>
          <w:rStyle w:val="CharStyle9"/>
          <w:lang w:val="en-US" w:eastAsia="en-US"/>
        </w:rPr>
        <w:t xml:space="preserve">99, 106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05.04.2013 </w:t>
      </w:r>
      <w:r>
        <w:rPr>
          <w:rStyle w:val="CharStyle9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9"/>
        </w:rPr>
        <w:t>РЕШИЛА: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80"/>
        <w:jc w:val="both"/>
      </w:pPr>
      <w:r>
        <w:rPr>
          <w:rStyle w:val="CharStyle9"/>
        </w:rPr>
        <w:t>Признать жалобу ИП Пономарева Михаила Дмитриевича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9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618" w:right="652" w:bottom="1260" w:left="92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16535" distL="0" distR="0" simplePos="0" relativeHeight="125829382" behindDoc="0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304800</wp:posOffset>
                </wp:positionV>
                <wp:extent cx="186563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56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.899999999999999pt;margin-top:24.pt;width:146.90000000000001pt;height:19.900000000000002pt;z-index:-125829371;mso-wrap-distance-left:0;mso-wrap-distance-top:24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4650" distB="0" distL="0" distR="1786255" simplePos="0" relativeHeight="125829384" behindDoc="0" locked="0" layoutInCell="1" allowOverlap="1">
            <wp:simplePos x="0" y="0"/>
            <wp:positionH relativeFrom="page">
              <wp:posOffset>2761615</wp:posOffset>
            </wp:positionH>
            <wp:positionV relativeFrom="paragraph">
              <wp:posOffset>374650</wp:posOffset>
            </wp:positionV>
            <wp:extent cx="359410" cy="40259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466090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0.55000000000001pt;margin-top:36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216535" distL="0" distR="0" simplePos="0" relativeHeight="125829385" behindDoc="0" locked="0" layoutInCell="1" allowOverlap="1">
                <wp:simplePos x="0" y="0"/>
                <wp:positionH relativeFrom="page">
                  <wp:posOffset>6230620</wp:posOffset>
                </wp:positionH>
                <wp:positionV relativeFrom="paragraph">
                  <wp:posOffset>304800</wp:posOffset>
                </wp:positionV>
                <wp:extent cx="86233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0.60000000000002pt;margin-top:24.pt;width:67.900000000000006pt;height:19.900000000000002pt;z-index:-125829368;mso-wrap-distance-left:0;mso-wrap-distance-top:24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Кому выдан: </w:t>
      </w:r>
      <w:r>
        <w:rPr>
          <w:rStyle w:val="CharStyle41"/>
          <w:color w:val="000000"/>
        </w:rPr>
        <w:t>ЖУКОВ АЗАМАТ ГАСАНОВИЧ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Сертификат </w:t>
      </w:r>
      <w:r>
        <w:rPr>
          <w:rStyle w:val="CharStyle41"/>
          <w:color w:val="292929"/>
        </w:rPr>
        <w:t xml:space="preserve">№ </w:t>
      </w:r>
      <w:r>
        <w:rPr>
          <w:rStyle w:val="CharStyle41"/>
          <w:lang w:val="en-US" w:eastAsia="en-US"/>
        </w:rPr>
        <w:t>4B9C8818528740555A2694AABD28237A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6" w:bottom="350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41"/>
        </w:rPr>
        <w:t>Действителен с 21.05.2025 по 14.08.2026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3" w:right="0" w:bottom="11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2141" w:h="398" w:wrap="none" w:vAnchor="text" w:hAnchor="page" w:x="101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Члены Комиссии</w:t>
      </w:r>
    </w:p>
    <w:p>
      <w:pPr>
        <w:pStyle w:val="Style31"/>
        <w:keepNext w:val="0"/>
        <w:keepLines w:val="0"/>
        <w:framePr w:w="2712" w:h="408" w:wrap="none" w:vAnchor="text" w:hAnchor="page" w:x="5013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8"/>
        <w:keepNext w:val="0"/>
        <w:keepLines w:val="0"/>
        <w:framePr w:w="1848" w:h="398" w:wrap="none" w:vAnchor="text" w:hAnchor="page" w:x="93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С.М. Керашева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702" behindDoc="1" locked="0" layoutInCell="1" allowOverlap="1">
            <wp:simplePos x="0" y="0"/>
            <wp:positionH relativeFrom="page">
              <wp:posOffset>2762250</wp:posOffset>
            </wp:positionH>
            <wp:positionV relativeFrom="paragraph">
              <wp:posOffset>73025</wp:posOffset>
            </wp:positionV>
            <wp:extent cx="359410" cy="39624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3" w:right="546" w:bottom="11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12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Кому выдан: </w:t>
      </w:r>
      <w:r>
        <w:rPr>
          <w:rStyle w:val="CharStyle41"/>
          <w:color w:val="000000"/>
        </w:rPr>
        <w:t>Керашева Сусана Муратовна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Сертификат </w:t>
      </w:r>
      <w:r>
        <w:rPr>
          <w:rStyle w:val="CharStyle41"/>
          <w:color w:val="292929"/>
        </w:rPr>
        <w:t xml:space="preserve">№ </w:t>
      </w:r>
      <w:r>
        <w:rPr>
          <w:rStyle w:val="CharStyle41"/>
          <w:lang w:val="en-US" w:eastAsia="en-US"/>
        </w:rPr>
        <w:t>00A0FD32E0EFEE026E624F0421626EED3A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5980430</wp:posOffset>
                </wp:positionH>
                <wp:positionV relativeFrom="paragraph">
                  <wp:posOffset>114300</wp:posOffset>
                </wp:positionV>
                <wp:extent cx="1115695" cy="25019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Н.А. Клюкина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0.90000000000003pt;margin-top:9.pt;width:87.850000000000009pt;height:19.699999999999999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Н.А. Клюкина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41"/>
        </w:rPr>
        <w:t xml:space="preserve">Действителен с 17.01.2025 </w:t>
      </w:r>
      <w:r>
        <w:rPr>
          <w:rStyle w:val="CharStyle41"/>
          <w:color w:val="5E5E5E"/>
        </w:rPr>
        <w:t xml:space="preserve">по </w:t>
      </w:r>
      <w:r>
        <w:rPr>
          <w:rStyle w:val="CharStyle41"/>
        </w:rPr>
        <w:t>12.04.2026</w:t>
      </w:r>
    </w:p>
    <w:p>
      <w:pPr>
        <w:framePr w:w="562" w:h="883" w:hSpace="2813" w:wrap="notBeside" w:vAnchor="text" w:hAnchor="text" w:x="3390" w:y="1"/>
        <w:widowControl w:val="0"/>
        <w:rPr>
          <w:sz w:val="2"/>
          <w:szCs w:val="2"/>
        </w:rPr>
      </w:pPr>
      <w:r>
        <w:drawing>
          <wp:inline>
            <wp:extent cx="359410" cy="560705"/>
            <wp:docPr id="31" name="Picutr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59410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152015" distR="1075690" simplePos="0" relativeHeight="125829389" behindDoc="0" locked="0" layoutInCell="1" allowOverlap="1">
                <wp:simplePos x="0" y="0"/>
                <wp:positionH relativeFrom="column">
                  <wp:posOffset>2612390</wp:posOffset>
                </wp:positionH>
                <wp:positionV relativeFrom="paragraph">
                  <wp:posOffset>445135</wp:posOffset>
                </wp:positionV>
                <wp:extent cx="1283335" cy="10033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05.70000000000002pt;margin-top:35.050000000000004pt;width:101.05pt;height:7.9000000000000004pt;z-index:-125829364;mso-wrap-distance-left:169.45000000000002pt;mso-wrap-distance-right:84.700000000000003pt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2152015" distR="1075690" simplePos="0" relativeHeight="125829391" behindDoc="0" locked="0" layoutInCell="1" allowOverlap="1">
                <wp:simplePos x="0" y="0"/>
                <wp:positionH relativeFrom="column">
                  <wp:posOffset>2572385</wp:posOffset>
                </wp:positionH>
                <wp:positionV relativeFrom="paragraph">
                  <wp:posOffset>128270</wp:posOffset>
                </wp:positionV>
                <wp:extent cx="1722120" cy="25908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02.55000000000001pt;margin-top:10.1pt;width:135.59999999999999pt;height:20.400000000000002pt;z-index:-125829362;mso-wrap-distance-left:169.45000000000002pt;mso-wrap-distance-right:84.700000000000003pt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Кому выдан: </w:t>
      </w:r>
      <w:r>
        <w:rPr>
          <w:rStyle w:val="CharStyle41"/>
          <w:color w:val="000000"/>
        </w:rPr>
        <w:t>КЛЮКИНА НАТАЛЬЯ АЛЕКСАНДРОВНА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Сертификат </w:t>
      </w:r>
      <w:r>
        <w:rPr>
          <w:rStyle w:val="CharStyle41"/>
          <w:color w:val="292929"/>
        </w:rPr>
        <w:t xml:space="preserve">№ </w:t>
      </w:r>
      <w:r>
        <w:rPr>
          <w:rStyle w:val="CharStyle41"/>
          <w:lang w:val="en-US" w:eastAsia="en-US"/>
        </w:rPr>
        <w:t>68C6EA25EAC373ADCFE5D67D96FA5798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1"/>
        </w:rPr>
        <w:t xml:space="preserve">Действителен с 09.06.2025 </w:t>
      </w:r>
      <w:r>
        <w:rPr>
          <w:rStyle w:val="CharStyle41"/>
          <w:color w:val="5E5E5E"/>
        </w:rPr>
        <w:t xml:space="preserve">по </w:t>
      </w:r>
      <w:r>
        <w:rPr>
          <w:rStyle w:val="CharStyle41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233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2025-2423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70000000000005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2025-2423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628650</wp:posOffset>
              </wp:positionH>
              <wp:positionV relativeFrom="page">
                <wp:posOffset>10034270</wp:posOffset>
              </wp:positionV>
              <wp:extent cx="66167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2025-2423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49.5pt;margin-top:790.10000000000002pt;width:52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2025-2423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628650</wp:posOffset>
              </wp:positionH>
              <wp:positionV relativeFrom="page">
                <wp:posOffset>10034270</wp:posOffset>
              </wp:positionV>
              <wp:extent cx="661670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2025-2423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49.5pt;margin-top:790.10000000000002pt;width:52.100000000000001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2025-2423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3795395</wp:posOffset>
              </wp:positionH>
              <wp:positionV relativeFrom="page">
                <wp:posOffset>746760</wp:posOffset>
              </wp:positionV>
              <wp:extent cx="15240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98.85000000000002pt;margin-top:58.800000000000004pt;width:12.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756285</wp:posOffset>
              </wp:positionV>
              <wp:extent cx="73025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59.550000000000004pt;width:5.75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3795395</wp:posOffset>
              </wp:positionH>
              <wp:positionV relativeFrom="page">
                <wp:posOffset>746760</wp:posOffset>
              </wp:positionV>
              <wp:extent cx="152400" cy="1282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98.85000000000002pt;margin-top:58.800000000000004pt;width:12.pt;height:10.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8"/>
      <w:szCs w:val="18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2">
    <w:name w:val="Picture caption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41">
    <w:name w:val="Body text (2)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7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8"/>
      <w:szCs w:val="18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ind w:firstLine="6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1">
    <w:name w:val="Picture caption"/>
    <w:basedOn w:val="Normal"/>
    <w:link w:val="CharStyle3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40">
    <w:name w:val="Body text (2)"/>
    <w:basedOn w:val="Normal"/>
    <w:link w:val="CharStyle41"/>
    <w:pPr>
      <w:widowControl w:val="0"/>
      <w:shd w:val="clear" w:color="auto" w:fill="auto"/>
      <w:ind w:left="34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eader" Target="header3.xml"/><Relationship Id="rId15" Type="http://schemas.openxmlformats.org/officeDocument/2006/relationships/footer" Target="footer4.xml"/><Relationship Id="rId16" Type="http://schemas.openxmlformats.org/officeDocument/2006/relationships/image" Target="media/image3.jpeg"/><Relationship Id="rId17" Type="http://schemas.openxmlformats.org/officeDocument/2006/relationships/image" Target="media/image3.jpeg" TargetMode="External"/><Relationship Id="rId18" Type="http://schemas.openxmlformats.org/officeDocument/2006/relationships/image" Target="media/image4.jpeg"/><Relationship Id="rId19" Type="http://schemas.openxmlformats.org/officeDocument/2006/relationships/image" Target="media/image4.jpeg" TargetMode="External"/><Relationship Id="rId20" Type="http://schemas.openxmlformats.org/officeDocument/2006/relationships/image" Target="media/image5.jpeg"/><Relationship Id="rId21" Type="http://schemas.openxmlformats.org/officeDocument/2006/relationships/image" Target="media/image5.jpeg" TargetMode="External"/></Relationships>
</file>