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2" w:bottom="65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5400" distR="254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1606550</wp:posOffset>
                </wp:positionV>
                <wp:extent cx="1216025" cy="5575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16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>6.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  <w:u w:val="single"/>
                              </w:rPr>
                              <w:t>09.2025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На№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126.5pt;width:95.75pt;height:43.899999999999999pt;z-index:-125829375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16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6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>6.</w:t>
                      </w:r>
                      <w:r>
                        <w:rPr>
                          <w:rStyle w:val="CharStyle6"/>
                          <w:sz w:val="30"/>
                          <w:szCs w:val="30"/>
                          <w:u w:val="single"/>
                        </w:rPr>
                        <w:t>09.2025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На№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10"/>
          <w:b/>
          <w:bCs/>
        </w:rPr>
        <w:t>ФЕДЕРАЛЬНАЯ</w:t>
        <w:br/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0"/>
          <w:b/>
          <w:bCs/>
        </w:rPr>
        <w:t>УПРАВЛЕНИЕ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г. Москве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0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10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4"/>
        </w:rPr>
        <w:t>№ 37285/25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2016" w:val="left"/>
        </w:tabs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6"/>
          <w:rFonts w:ascii="Courier New" w:eastAsia="Courier New" w:hAnsi="Courier New" w:cs="Courier New"/>
          <w:color w:val="46609A"/>
          <w:sz w:val="16"/>
          <w:szCs w:val="16"/>
        </w:rPr>
        <w:t xml:space="preserve">ОТ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ГБУЗ «НПЦ спец.мед.помощи детям ДЗМ»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"mailto:htxm-zakupki-npcmpd@zdrav.mos.ru" </w:instrText>
      </w:r>
      <w:r>
        <w:fldChar w:fldCharType="separate"/>
      </w:r>
      <w:r>
        <w:rPr>
          <w:rStyle w:val="CharStyle6"/>
          <w:lang w:val="en-US" w:eastAsia="en-US"/>
        </w:rPr>
        <w:t>htxm-zakupki-npcmpd@zdrav.mos.ru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6"/>
        </w:rPr>
        <w:t xml:space="preserve">ООО «СКИФ СЗР» </w:t>
      </w:r>
      <w:r>
        <w:fldChar w:fldCharType="begin"/>
      </w:r>
      <w:r>
        <w:rPr/>
        <w:instrText> HYPERLINK "mailto:info@skifszr.ru" </w:instrText>
      </w:r>
      <w:r>
        <w:fldChar w:fldCharType="separate"/>
      </w:r>
      <w:r>
        <w:rPr>
          <w:rStyle w:val="CharStyle6"/>
          <w:lang w:val="en-US" w:eastAsia="en-US"/>
        </w:rPr>
        <w:t>info@skifszr.ru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1060" w:bottom="708" w:left="1332" w:header="0" w:footer="3" w:gutter="0"/>
          <w:cols w:num="2" w:space="720" w:equalWidth="0">
            <w:col w:w="3869" w:space="1205"/>
            <w:col w:w="4435"/>
          </w:cols>
          <w:noEndnote/>
          <w:rtlGutter w:val="0"/>
          <w:docGrid w:linePitch="360"/>
        </w:sectPr>
      </w:pPr>
      <w:r>
        <w:rPr>
          <w:rStyle w:val="CharStyle6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6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80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393700</wp:posOffset>
                </wp:positionV>
                <wp:extent cx="1185545" cy="45720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11.09.2025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8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25pt;margin-top:31.pt;width:93.350000000000009pt;height:36.pt;z-index:-125829373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11.09.2025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80"/>
                        <w:jc w:val="left"/>
                      </w:pPr>
                      <w:r>
                        <w:rPr>
                          <w:rStyle w:val="CharStyle6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b/>
          <w:bCs/>
        </w:rPr>
        <w:t>по делу №077/06/106-11366/2025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6"/>
          <w:b/>
          <w:bCs/>
        </w:rPr>
        <w:t>г. Москва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6"/>
        </w:rPr>
        <w:t>по контролю в сфере закупок товаров, работ, услуг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Федеральной антимонопольной службы по г. Москве (далее –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Председательствующего – заместителя начальника отдела обжалования государственных закупок Д.С. Грешневой,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Специалиста-эксперта отдела обжалования государственных закупок О.А. Челновой,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при участии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ООО «СКИФ СЗР»: Д.С. Концедалова (по доверенности №б/н от 05.09.2025),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ГБУЗ «НПЦ спец.мед.помощи детям ДЗМ»: В.С. Кононихина (по доверенности №б/н от 10.09.2025), Н.Н. Шангиной (по доверенности №б/н от 21.05.2025),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рассмотрев жалобу ООО «СКИФ СЗР» (далее — Заявитель) на действия ГБУЗ «НПЦ спец.мед.помощи детям ДЗМ» (далее — Заказчик) при проведении электронного аукциона на право заключения государственного контракта поставку медицинского оборудования (микроскоп нейрохирургический) для нужд ГБУЗ «НПЦ спец.мед.помощи детям ДЗМ» (</w:t>
      </w:r>
      <w:r>
        <w:rPr>
          <w:rStyle w:val="CharStyle6"/>
          <w:color w:val="111111"/>
        </w:rPr>
        <w:t xml:space="preserve">Закупка </w:t>
      </w:r>
      <w:r>
        <w:rPr>
          <w:rStyle w:val="CharStyle6"/>
        </w:rPr>
        <w:t>№</w:t>
      </w:r>
      <w:r>
        <w:rPr>
          <w:rStyle w:val="CharStyle6"/>
          <w:color w:val="111111"/>
        </w:rPr>
        <w:t xml:space="preserve">0373200034825000464) </w:t>
      </w:r>
      <w:r>
        <w:rPr>
          <w:rStyle w:val="CharStyle6"/>
        </w:rPr>
        <w:t>(далее – аукцион, электронный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контрактной системе),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  <w:b/>
          <w:bCs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В составе жалобы Заявитель указывает, что в описании объекта закупки Заказчиком неправомерно установлены дополнительные характеристики, не предусмотренные позицией Каталога товаров, работ,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 xml:space="preserve">КТРУ) КТРУ </w:t>
      </w:r>
      <w:r>
        <w:rPr>
          <w:rStyle w:val="CharStyle6"/>
          <w:lang w:val="en-US" w:eastAsia="en-US"/>
        </w:rPr>
        <w:t>26.70.22.150</w:t>
        <w:softHyphen/>
        <w:t xml:space="preserve">00000063 </w:t>
      </w:r>
      <w:r>
        <w:rPr>
          <w:rStyle w:val="CharStyle6"/>
        </w:rPr>
        <w:t>для п.«Микроскоп нейрохирургический» без обоснования использования такой дополнительной информации.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4" w:bottom="904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российское лицо), за исключением случаев принятия Правительством Российской Федерации мер, </w:t>
      </w:r>
      <w:r>
        <w:rPr>
          <w:rStyle w:val="CharStyle6"/>
          <w:sz w:val="24"/>
          <w:szCs w:val="24"/>
          <w:lang w:val="en-US" w:eastAsia="en-US"/>
        </w:rPr>
        <w:t>2025-41853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6"/>
        </w:rPr>
        <w:t>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 оказываемой российским лицом.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Согласно пп.«б»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Абз.3 п.1 Постановления </w:t>
      </w:r>
      <w:r>
        <w:rPr>
          <w:rStyle w:val="CharStyle6"/>
          <w:lang w:val="en-US" w:eastAsia="en-US"/>
        </w:rPr>
        <w:t xml:space="preserve">№1875 </w:t>
      </w:r>
      <w:r>
        <w:rPr>
          <w:rStyle w:val="CharStyle6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6"/>
          <w:lang w:val="en-US" w:eastAsia="en-US"/>
        </w:rPr>
        <w:t xml:space="preserve">№2 </w:t>
      </w:r>
      <w:r>
        <w:rPr>
          <w:rStyle w:val="CharStyle6"/>
        </w:rPr>
        <w:t xml:space="preserve">к Постановлению </w:t>
      </w:r>
      <w:r>
        <w:rPr>
          <w:rStyle w:val="CharStyle6"/>
          <w:lang w:val="en-US" w:eastAsia="en-US"/>
        </w:rPr>
        <w:t>№1875.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500"/>
        <w:jc w:val="both"/>
      </w:pPr>
      <w:r>
        <w:rPr>
          <w:rStyle w:val="CharStyle6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Комиссией Управления установлено, что в извещении об осуществлении закупки в отношении закупаемого оборудования Заказчиком установлено ограничения, предусмотренные абз.3 п.1 Постановления </w:t>
      </w:r>
      <w:r>
        <w:rPr>
          <w:rStyle w:val="CharStyle6"/>
          <w:lang w:val="en-US" w:eastAsia="en-US"/>
        </w:rPr>
        <w:t>№1875.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Постановлением Правительства Российской Федерации от </w:t>
      </w:r>
      <w:r>
        <w:rPr>
          <w:rStyle w:val="CharStyle6"/>
          <w:lang w:val="en-US" w:eastAsia="en-US"/>
        </w:rPr>
        <w:t xml:space="preserve">08.02.2017 №145 </w:t>
      </w:r>
      <w:r>
        <w:rPr>
          <w:rStyle w:val="CharStyle6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Правила использования КТРУ).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приглашении принять участие в определении поставщика (подрядчика исполнителя)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приглашение);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документации о закупке (в случае если Федеральным законом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6"/>
        </w:rPr>
        <w:t>предусмотрена документация о закупке);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контракте;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реестре контрактов, заключенных заказчиками.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«г» и «е»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наименование товара, работы, услуги;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описание товара, работы, услуги (при наличии такого описания в позиции).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с.33 Закона о контрактной системе, которые не предусмотрены в позиции каталога, за исключением случаев: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6"/>
          <w:lang w:val="en-US" w:eastAsia="en-US"/>
        </w:rPr>
        <w:t xml:space="preserve">25, 26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32 </w:t>
      </w:r>
      <w:r>
        <w:rPr>
          <w:rStyle w:val="CharStyle6"/>
        </w:rPr>
        <w:t xml:space="preserve">приложения </w:t>
      </w:r>
      <w:r>
        <w:rPr>
          <w:rStyle w:val="CharStyle6"/>
          <w:lang w:val="en-US" w:eastAsia="en-US"/>
        </w:rPr>
        <w:t xml:space="preserve">№ 1 </w:t>
      </w:r>
      <w:r>
        <w:rPr>
          <w:rStyle w:val="CharStyle6"/>
        </w:rPr>
        <w:t xml:space="preserve">к постановлению Правительства Российской Федерации от </w:t>
      </w:r>
      <w:r>
        <w:rPr>
          <w:rStyle w:val="CharStyle6"/>
          <w:lang w:val="en-US" w:eastAsia="en-US"/>
        </w:rPr>
        <w:t xml:space="preserve">23 </w:t>
      </w:r>
      <w:r>
        <w:rPr>
          <w:rStyle w:val="CharStyle6"/>
        </w:rPr>
        <w:t xml:space="preserve">декабря </w:t>
      </w:r>
      <w:r>
        <w:rPr>
          <w:rStyle w:val="CharStyle6"/>
          <w:lang w:val="en-US" w:eastAsia="en-US"/>
        </w:rPr>
        <w:t xml:space="preserve">2024 </w:t>
      </w:r>
      <w:r>
        <w:rPr>
          <w:rStyle w:val="CharStyle6"/>
        </w:rPr>
        <w:t xml:space="preserve">г. </w:t>
      </w:r>
      <w:r>
        <w:rPr>
          <w:rStyle w:val="CharStyle6"/>
          <w:lang w:val="en-US" w:eastAsia="en-US"/>
        </w:rPr>
        <w:t xml:space="preserve">№ 1875 </w:t>
      </w:r>
      <w:r>
        <w:rPr>
          <w:rStyle w:val="CharStyle6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</w:t>
      </w:r>
      <w:r>
        <w:rPr>
          <w:rStyle w:val="CharStyle6"/>
          <w:lang w:val="en-US" w:eastAsia="en-US"/>
        </w:rPr>
        <w:t xml:space="preserve">191 - 361 </w:t>
      </w:r>
      <w:r>
        <w:rPr>
          <w:rStyle w:val="CharStyle6"/>
        </w:rPr>
        <w:t xml:space="preserve">приложения </w:t>
      </w:r>
      <w:r>
        <w:rPr>
          <w:rStyle w:val="CharStyle6"/>
          <w:lang w:val="en-US" w:eastAsia="en-US"/>
        </w:rPr>
        <w:t>№ 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к указанному постановлению, применяются предусмотренные пунктом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указанного постановления запрет, ограничение соответственно;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Вместе с тем в силу п. </w:t>
      </w:r>
      <w:r>
        <w:rPr>
          <w:rStyle w:val="CharStyle6"/>
          <w:lang w:val="en-US" w:eastAsia="en-US"/>
        </w:rPr>
        <w:t xml:space="preserve">6 </w:t>
      </w:r>
      <w:r>
        <w:rPr>
          <w:rStyle w:val="CharStyle6"/>
        </w:rPr>
        <w:t xml:space="preserve">Правил использования КТРУ в случае предоставления дополнительной информации, предусмотренной п.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При этом п.7 Правил использования КТРУ регламентировано,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силу п.8 Правил использования КТРУ при включении в состав одного лота (одного товара, работы, услуги) нескольких товаров, работ, услуг, на которые в каталоге имеются подлежащие применению позиции каталога и на которые в каталоге отсутствуют соответствующие позиции, заказчик руководствуется требованиями настоящих Правил в отношении каждого такого товара, работы услуги, на которые в каталоге имеется подлежащая применению позиция.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Комиссией Управления установлено, что в описании объекта закупки Заказчиком установлены, в том числе, следующие требования в отношении необходимого к поставке товара, например:</w:t>
      </w:r>
    </w:p>
    <w:tbl>
      <w:tblPr>
        <w:tblOverlap w:val="never"/>
        <w:jc w:val="center"/>
        <w:tblLayout w:type="fixed"/>
      </w:tblPr>
      <w:tblGrid>
        <w:gridCol w:w="1344"/>
        <w:gridCol w:w="6725"/>
        <w:gridCol w:w="2136"/>
      </w:tblGrid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Микроскоп (основной тубус)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Задний вспомогательный тубус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Боковой бинокулярный тубус, используемый ассистентом, с поворотным механизмом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7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Моторизированное устройство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 xml:space="preserve">перемещения по осям </w:t>
            </w:r>
            <w:r>
              <w:rPr>
                <w:rStyle w:val="CharStyle16"/>
                <w:sz w:val="17"/>
                <w:szCs w:val="17"/>
                <w:lang w:val="en-US" w:eastAsia="en-US"/>
              </w:rPr>
              <w:t xml:space="preserve">XY </w:t>
            </w:r>
            <w:r>
              <w:rPr>
                <w:rStyle w:val="CharStyle16"/>
                <w:sz w:val="17"/>
                <w:szCs w:val="17"/>
              </w:rPr>
              <w:t>с электрическим приводом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5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Управление с помощью рукоятки: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05" w:right="542" w:bottom="1475" w:left="1110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На заседании Комиссии Управления представитель Заказчика, не согласившись с доводом жалобы, пояснил, что при формировании описания объекта закупки Заказчик прежде всего руководствуется теми конкретными потребностями, которые могут быть в дальнейшем реализованы в функционале и характеристиках приобретенного оборудования, при этом все установленные требования содержат обоснование использования таких характеристик, что также представлено в письменных возражениях, направленных в адрес Комиссии Управления.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Вследствие чего, по мнению Заказчика, описание объекта закупки составлено правомерно в соответствии со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Вместе с тем Комиссия Управления считает необходимым отметить нижеследующее.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Комиссией Управления также установлено, что в описании объекта закупки Заказчиком установлены дополнительные, не предусмотренные позицией КТРУ </w:t>
      </w:r>
      <w:r>
        <w:rPr>
          <w:rStyle w:val="CharStyle6"/>
          <w:lang w:val="en-US" w:eastAsia="en-US"/>
        </w:rPr>
        <w:t xml:space="preserve">26.70.22.150-00000063 </w:t>
      </w:r>
      <w:r>
        <w:rPr>
          <w:rStyle w:val="CharStyle6"/>
        </w:rPr>
        <w:t>«Микроскоп нейрохирургический», требования к закупаемому товару, например «Диапазон вращения держателя микроскопа», «Диапазон бокового наклона микроскопа (влево-вправо)», при этом в описании объекта закупки обоснование использлования таких дополнительных характеристиках не представлено.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Исходя из вышеизложенного Комиссия Управления приходит к выводу, что Заказчиком не размещено обоснование использования дополнительной информации, не предусмотренной позициями КТРУ, что не соответствует п.6 Правил использования КТРУ, так как не обосновывает и не раскрывает потребность Заказчика в использовании такой информации при описании объекта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На основании всего вышеизложенного, Комиссия Управления приходит к выводу о нарушении Заказчиком положений ч.6 ст.23, п.5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  <w:lang w:val="en-US" w:eastAsia="en-US"/>
        </w:rPr>
        <w:t xml:space="preserve">2. </w:t>
      </w:r>
      <w:r>
        <w:rPr>
          <w:rStyle w:val="CharStyle6"/>
        </w:rPr>
        <w:t xml:space="preserve">Также согласно доводам Заявителя Заказчиком в описании объекта закупки установлены избыточные ограничивающие требования по п.«Микроскоп нейрохирургический», а именно: «Кнопка выбора фильтра </w:t>
      </w:r>
      <w:r>
        <w:rPr>
          <w:rStyle w:val="CharStyle6"/>
          <w:lang w:val="en-US" w:eastAsia="en-US"/>
        </w:rPr>
        <w:t xml:space="preserve">5-ALA: </w:t>
      </w:r>
      <w:r>
        <w:rPr>
          <w:rStyle w:val="CharStyle6"/>
        </w:rPr>
        <w:t>наличие», поскольку данное требование является неправомерным и ограничивает количество участников закупки, и, в его отсутствие участников было бы значительно больше.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899" w:left="1106" w:header="0" w:footer="471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На заседании Комиссии Управления представитель Заказчика, не согласившись с доводами жалобы, пояснил, что при подготовке данной закупки Заказчиком получены коммерческие предложения с товарами различных производителей, удовлетворяющие оспариваемому параметру, при этом </w:t>
      </w:r>
      <w:r>
        <w:rPr>
          <w:rStyle w:val="CharStyle6"/>
          <w:sz w:val="24"/>
          <w:szCs w:val="24"/>
          <w:lang w:val="en-US" w:eastAsia="en-US"/>
        </w:rPr>
        <w:t>2025-41853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совокупности установленных требований, в том числе по оспариваемой характеристике, соответствуют товары различных производителей, в том числе: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«Микроскоп операционный </w:t>
      </w:r>
      <w:r>
        <w:rPr>
          <w:rStyle w:val="CharStyle6"/>
          <w:lang w:val="en-US" w:eastAsia="en-US"/>
        </w:rPr>
        <w:t xml:space="preserve">Leica </w:t>
      </w:r>
      <w:r>
        <w:rPr>
          <w:rStyle w:val="CharStyle6"/>
        </w:rPr>
        <w:t xml:space="preserve">М530 ОНХ» производства «Лейка Микросистемс (Швайц) АГ», Швейцария, регистрационное удостоверение №РЗН </w:t>
      </w:r>
      <w:r>
        <w:rPr>
          <w:rStyle w:val="CharStyle6"/>
          <w:lang w:val="en-US" w:eastAsia="en-US"/>
        </w:rPr>
        <w:t xml:space="preserve">2018/7787 </w:t>
      </w:r>
      <w:r>
        <w:rPr>
          <w:rStyle w:val="CharStyle6"/>
        </w:rPr>
        <w:t xml:space="preserve">от </w:t>
      </w:r>
      <w:r>
        <w:rPr>
          <w:rStyle w:val="CharStyle6"/>
          <w:lang w:val="en-US" w:eastAsia="en-US"/>
        </w:rPr>
        <w:t>28.05.2024;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«Микроскоп хирургический </w:t>
      </w:r>
      <w:r>
        <w:rPr>
          <w:rStyle w:val="CharStyle6"/>
          <w:lang w:val="en-US" w:eastAsia="en-US"/>
        </w:rPr>
        <w:t xml:space="preserve">Mitaka» </w:t>
      </w:r>
      <w:r>
        <w:rPr>
          <w:rStyle w:val="CharStyle6"/>
        </w:rPr>
        <w:t xml:space="preserve">производства «Митака Кокки Ко., Лтд.», Япония, регистрационное удостоверение №РЗН </w:t>
      </w:r>
      <w:r>
        <w:rPr>
          <w:rStyle w:val="CharStyle6"/>
          <w:lang w:val="en-US" w:eastAsia="en-US"/>
        </w:rPr>
        <w:t xml:space="preserve">2022/17698 </w:t>
      </w:r>
      <w:r>
        <w:rPr>
          <w:rStyle w:val="CharStyle6"/>
        </w:rPr>
        <w:t xml:space="preserve">от </w:t>
      </w:r>
      <w:r>
        <w:rPr>
          <w:rStyle w:val="CharStyle6"/>
          <w:lang w:val="en-US" w:eastAsia="en-US"/>
        </w:rPr>
        <w:t>08.07.2022.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Доказательств обратного Заявителем не представлено.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Комиссия Управления отмечает, что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 в извещении об осуществлении закупки, но таким образом, чтобы такие требования не ограничивали количество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в составе жалобы Заявителем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Кроме того,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6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объекта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6"/>
        </w:rPr>
        <w:t>Доказательств обратного Заявителем Комиссии Управления не представлено.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6"/>
        </w:rPr>
        <w:t>Комиссия также отмечает, что предъявленные Заказчиком требования к поставляемым товарам в равной степени распространялись на всех участников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аукциона, ввиду чего любое лицо обладало возможностью закупить и поставить требуемые товары.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rStyle w:val="CharStyle6"/>
        </w:rPr>
        <w:t xml:space="preserve">Комиссия Управления отмечает, что Заказчики формируют структурированное описание объекта закупки с использованием функционала единой информационной системы при формировании извещения (подп. «б» п. </w:t>
      </w:r>
      <w:r>
        <w:rPr>
          <w:rStyle w:val="CharStyle6"/>
          <w:lang w:val="en-US" w:eastAsia="en-US"/>
        </w:rPr>
        <w:t xml:space="preserve">8 </w:t>
      </w:r>
      <w:r>
        <w:rPr>
          <w:rStyle w:val="CharStyle6"/>
        </w:rPr>
        <w:t xml:space="preserve">постановления Правительства от </w:t>
      </w:r>
      <w:r>
        <w:rPr>
          <w:rStyle w:val="CharStyle6"/>
          <w:lang w:val="en-US" w:eastAsia="en-US"/>
        </w:rPr>
        <w:t>31.10.2022 № 1946).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При этом Комиссия Управления отмечает, что наличие разночтений между структурированной формой в составе извещения об осуществлении закупки и Техническим заданием не позволяет Заявителю определить точную потребность Заказчика к закупаемым товарам, а также корректно сформировать свое предложение на участие в закупке в структурированной заявке, в дополнение в отношении таких характеристик «Инструкция по заполнению характеристики в заявке» сформирована таким образом, что вводит в заблуждение потенциальных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0" w:right="0" w:firstLine="700"/>
        <w:jc w:val="both"/>
      </w:pPr>
      <w:r>
        <w:rPr>
          <w:rStyle w:val="CharStyle6"/>
        </w:rPr>
        <w:t>Так, например, Комиссией Управления установлено, что в структурированной форме извещения по п. «Микроскоп нейрохирургический» указано:</w:t>
      </w:r>
    </w:p>
    <w:tbl>
      <w:tblPr>
        <w:tblOverlap w:val="never"/>
        <w:jc w:val="center"/>
        <w:tblLayout w:type="fixed"/>
      </w:tblPr>
      <w:tblGrid>
        <w:gridCol w:w="1958"/>
        <w:gridCol w:w="259"/>
        <w:gridCol w:w="1286"/>
        <w:gridCol w:w="787"/>
        <w:gridCol w:w="1190"/>
        <w:gridCol w:w="192"/>
        <w:gridCol w:w="821"/>
        <w:gridCol w:w="2040"/>
        <w:gridCol w:w="1195"/>
      </w:tblGrid>
      <w:tr>
        <w:trPr>
          <w:trHeight w:val="21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9"/>
                <w:szCs w:val="9"/>
              </w:rPr>
            </w:pPr>
            <w:r>
              <w:rPr>
                <w:rStyle w:val="CharStyle16"/>
                <w:b/>
                <w:bCs/>
                <w:color w:val="111111"/>
                <w:sz w:val="9"/>
                <w:szCs w:val="9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Style w:val="CharStyle16"/>
                <w:b/>
                <w:bCs/>
                <w:color w:val="111111"/>
                <w:sz w:val="9"/>
                <w:szCs w:val="9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Style w:val="CharStyle16"/>
                <w:b/>
                <w:bCs/>
                <w:sz w:val="9"/>
                <w:szCs w:val="9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Style w:val="CharStyle16"/>
                <w:b/>
                <w:bCs/>
                <w:sz w:val="9"/>
                <w:szCs w:val="9"/>
              </w:rPr>
              <w:t>Единица измерения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16"/>
                <w:color w:val="292929"/>
                <w:sz w:val="11"/>
                <w:szCs w:val="11"/>
              </w:rPr>
              <w:t>Цена за единицу-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Style w:val="CharStyle16"/>
                <w:b/>
                <w:bCs/>
                <w:color w:val="292929"/>
                <w:sz w:val="9"/>
                <w:szCs w:val="9"/>
              </w:rPr>
              <w:t>Количество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Style w:val="CharStyle16"/>
                <w:b/>
                <w:bCs/>
                <w:color w:val="111111"/>
                <w:sz w:val="9"/>
                <w:szCs w:val="9"/>
              </w:rPr>
              <w:t>Стоимость позиции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 xml:space="preserve">Микроскоп нейрохирургический Идентификатор: 1 </w:t>
            </w:r>
            <w:r>
              <w:rPr>
                <w:rStyle w:val="CharStyle16"/>
                <w:color w:val="565656"/>
                <w:sz w:val="10"/>
                <w:szCs w:val="10"/>
              </w:rPr>
              <w:t>$9904230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565656"/>
                <w:sz w:val="10"/>
                <w:szCs w:val="10"/>
              </w:rPr>
              <w:t>26.70.22.150-00000063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Штука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434343"/>
                <w:sz w:val="10"/>
                <w:szCs w:val="10"/>
              </w:rPr>
              <w:t>38592989.63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747474"/>
                <w:sz w:val="10"/>
                <w:szCs w:val="10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434343"/>
                <w:sz w:val="10"/>
                <w:szCs w:val="10"/>
              </w:rPr>
              <w:t>38592989.63</w:t>
            </w:r>
          </w:p>
        </w:tc>
      </w:tr>
      <w:tr>
        <w:trPr>
          <w:trHeight w:val="211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16"/>
                <w:color w:val="292929"/>
                <w:sz w:val="11"/>
                <w:szCs w:val="11"/>
              </w:rPr>
              <w:t>Характеристики товара , работы, услуги ( Микроскоп нейрохирургический )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rStyle w:val="CharStyle16"/>
                <w:color w:val="111111"/>
                <w:sz w:val="11"/>
                <w:szCs w:val="11"/>
              </w:rPr>
              <w:t>Наименование характеристики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rStyle w:val="CharStyle16"/>
                <w:color w:val="111111"/>
                <w:sz w:val="11"/>
                <w:szCs w:val="11"/>
              </w:rPr>
              <w:t>Значение характеристики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16"/>
                <w:color w:val="111111"/>
                <w:sz w:val="11"/>
                <w:szCs w:val="11"/>
              </w:rPr>
              <w:t>Единица измерения характеристики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16"/>
                <w:color w:val="111111"/>
                <w:sz w:val="11"/>
                <w:szCs w:val="11"/>
              </w:rPr>
              <w:t xml:space="preserve">Инструкция по заполнению характеристики </w:t>
            </w:r>
            <w:r>
              <w:rPr>
                <w:rStyle w:val="CharStyle16"/>
                <w:sz w:val="11"/>
                <w:szCs w:val="11"/>
              </w:rPr>
              <w:t xml:space="preserve">в </w:t>
            </w:r>
            <w:r>
              <w:rPr>
                <w:rStyle w:val="CharStyle16"/>
                <w:color w:val="111111"/>
                <w:sz w:val="11"/>
                <w:szCs w:val="11"/>
              </w:rPr>
              <w:t>заявке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Режим фокусировки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16"/>
                <w:smallCaps/>
                <w:color w:val="292929"/>
                <w:sz w:val="11"/>
                <w:szCs w:val="11"/>
              </w:rPr>
              <w:t>Ручной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Регулировка фокусного расстояния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sz w:val="10"/>
                <w:szCs w:val="10"/>
              </w:rPr>
              <w:t>№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Тип микроскопа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Передвижной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Фокусное расстояние объектива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16"/>
                <w:color w:val="434343"/>
                <w:sz w:val="10"/>
                <w:szCs w:val="10"/>
              </w:rPr>
              <w:t xml:space="preserve">&gt;200 </w:t>
            </w:r>
            <w:r>
              <w:rPr>
                <w:rStyle w:val="CharStyle16"/>
                <w:color w:val="111111"/>
                <w:sz w:val="10"/>
                <w:szCs w:val="10"/>
              </w:rPr>
              <w:t xml:space="preserve">и </w:t>
            </w:r>
            <w:r>
              <w:rPr>
                <w:rStyle w:val="CharStyle16"/>
                <w:color w:val="434343"/>
                <w:sz w:val="10"/>
                <w:szCs w:val="10"/>
              </w:rPr>
              <w:t>&lt;400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Миллиметр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16"/>
                <w:color w:val="292929"/>
                <w:sz w:val="10"/>
                <w:szCs w:val="10"/>
              </w:rPr>
              <w:t>Участник закутки указывает в заявке конкретное значение характеристики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0" w:right="0" w:firstLine="70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07" w:right="550" w:bottom="1318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При этом в электронной файле «Техническое задание» в составе извещения указаны в том числе следующие, не представленные в структурированной форме извещения характеристики:</w:t>
      </w:r>
    </w:p>
    <w:tbl>
      <w:tblPr>
        <w:tblOverlap w:val="never"/>
        <w:jc w:val="center"/>
        <w:tblLayout w:type="fixed"/>
      </w:tblPr>
      <w:tblGrid>
        <w:gridCol w:w="1349"/>
        <w:gridCol w:w="6744"/>
        <w:gridCol w:w="2141"/>
      </w:tblGrid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2.1.5.1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Фокус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2.1.5.2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Масштабирование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2.1.5.3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 xml:space="preserve">Джойстик на рукоятке для управления </w:t>
            </w:r>
            <w:r>
              <w:rPr>
                <w:rStyle w:val="CharStyle16"/>
                <w:sz w:val="17"/>
                <w:szCs w:val="17"/>
                <w:lang w:val="en-US" w:eastAsia="en-US"/>
              </w:rPr>
              <w:t>XY-перемещением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2.1.5.4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Регулировка яркости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Функция предотвращения повреждения тканей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Кнопка автоматической балансировки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Управление с помощью ножного переключателя: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  <w:lang w:val="en-US" w:eastAsia="en-US"/>
              </w:rPr>
              <w:t>2.1.8.1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Педаль масштабирования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6"/>
                <w:sz w:val="17"/>
                <w:szCs w:val="17"/>
              </w:rPr>
              <w:t>Наличие</w:t>
            </w:r>
          </w:p>
        </w:tc>
      </w:tr>
    </w:tbl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На основании вышеизложенного, Комиссия Управления приходит к выводу, что Заказчиком не исполнено надлежащим образом требование об указании требований к товарам с использованием единой информационной системы при формировании извещения об осуществлении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Таким образом, Заказчику, во исполнение требований п.5 ч.1 ст.42 Закона о контрактной системе и Правил пользования КТРУ, надлежало отразить в извещении все значимые характеристики закупаемых товаров в разделе «Характеристики товара, работы, услуги» с указанием в соответствующих графах наименования характеристик, значение характеристик, единицы измерения характеристик, инструкцию по заполнению характеристик в заявке, что Заказчиком в настоящем случае не сделано.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Иными словами, формирование информации и документов с использованием ЕИС осуществляется путем заполнения экранных форм веб-интерфейса ЕИС. При формировании извещения о проведении закупки в ЕИС Заказчику надлежало указать характеристики закупаемой продукции со значениями этих характеристик в соответствующей графе для обеспечения возможности участникам закупки представить такие сведения в структурированной форме.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Исходя из вышеизложенного Комиссия Управления приходит к выводу, что положения извещения сформированы Заказчиком таким образом, при котором наличие разночтений в составе извещения об осуществлении закупки не позволяет Заявителю определить точную потребность Заказчика, а также не позволяет участникам закупки представить сведения о поставляемых товарах надлежащим образом, посредством заполнения сведений, указанных в структурированной формы извещения, размещение которой обязательно в соответствии с ч.1 ст.42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Таким образом, на основании имеющихся документов и сведений, Комиссия Управления приходит к выводу о нарушении Заказчиком положений ч.6 ст.23 п.1 ч.1 ст.33, п.5 ч.1 ст.42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 xml:space="preserve">ст. </w:t>
      </w:r>
      <w:r>
        <w:rPr>
          <w:rStyle w:val="CharStyle6"/>
          <w:lang w:val="en-US" w:eastAsia="en-US"/>
        </w:rPr>
        <w:t xml:space="preserve">7.30.1 </w:t>
      </w:r>
      <w:r>
        <w:rPr>
          <w:rStyle w:val="CharStyle6"/>
        </w:rPr>
        <w:t>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Исследовав представленные материалы, Законом о контрактной системе,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both"/>
      </w:pPr>
      <w:r>
        <w:rPr>
          <w:rStyle w:val="CharStyle6"/>
        </w:rPr>
        <w:t>Комиссия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r>
        <w:rPr>
          <w:rStyle w:val="CharStyle6"/>
          <w:b/>
          <w:bCs/>
        </w:rPr>
        <w:t>РЕШИЛА: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Признать жалобу ООО «СКИФ СЗР» на действия ГБУЗ «НПЦ спец.мед.помощи детям ДЗМ» обоснованной в части установления требований не предусмотренных позицией КТРУ без обоснования необходимости установления таких требований.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Признать в действиях Заказчика нарушения ч.6 ст.23, п.1 ч.1 ст.33, п.5 ч.1 ст.42 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300" w:line="252" w:lineRule="auto"/>
        <w:ind w:left="0" w:right="0" w:firstLine="700"/>
        <w:jc w:val="both"/>
      </w:pPr>
      <w:r>
        <w:rPr>
          <w:rStyle w:val="CharStyle6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(трех) месяцев с даты его принятия в порядке, установленным гл. </w:t>
      </w:r>
      <w:r>
        <w:rPr>
          <w:rStyle w:val="CharStyle6"/>
          <w:lang w:val="en-US" w:eastAsia="en-US"/>
        </w:rPr>
        <w:t xml:space="preserve">24 </w:t>
      </w:r>
      <w:r>
        <w:rPr>
          <w:rStyle w:val="CharStyle6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24" w:right="533" w:bottom="1474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67640" distL="0" distR="0" simplePos="0" relativeHeight="125829383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149999999999999pt;margin-top:10.pt;width:145.20000000000002pt;height:19.900000000000002pt;z-index:-125829370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0" distL="0" distR="0" simplePos="0" relativeHeight="125829385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288290</wp:posOffset>
                </wp:positionV>
                <wp:extent cx="1722120" cy="25908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Style w:val="CharStyle16"/>
                                <w:color w:val="292929"/>
                                <w:sz w:val="10"/>
                                <w:szCs w:val="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75pt;margin-top:22.699999999999999pt;width:135.59999999999999pt;height:20.400000000000002pt;z-index:-125829368;mso-wrap-distance-left:0;mso-wrap-distance-top:22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Style w:val="CharStyle16"/>
                          <w:color w:val="292929"/>
                          <w:sz w:val="10"/>
                          <w:szCs w:val="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67640" distL="0" distR="0" simplePos="0" relativeHeight="125829387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8.85000000000002pt;margin-top:10.pt;width:89.5pt;height:19.900000000000002pt;z-index:-125829366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Кому выдан: </w:t>
      </w:r>
      <w:r>
        <w:rPr>
          <w:rStyle w:val="CharStyle41"/>
          <w:color w:val="000000"/>
        </w:rPr>
        <w:t>Грешнева Дарья Сергеевна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  <w:color w:val="292929"/>
        </w:rPr>
        <w:t xml:space="preserve">Сертификат № </w:t>
      </w:r>
      <w:r>
        <w:rPr>
          <w:rStyle w:val="CharStyle41"/>
          <w:color w:val="565656"/>
        </w:rPr>
        <w:t>00831</w:t>
      </w:r>
      <w:r>
        <w:rPr>
          <w:rStyle w:val="CharStyle41"/>
          <w:lang w:val="en-US" w:eastAsia="en-US"/>
        </w:rPr>
        <w:t>B7545C61281C4BAB156778A683BFB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41"/>
        </w:rPr>
        <w:t xml:space="preserve">Действителен с </w:t>
      </w:r>
      <w:r>
        <w:rPr>
          <w:rStyle w:val="CharStyle41"/>
          <w:color w:val="292929"/>
        </w:rPr>
        <w:t xml:space="preserve">17.07.2025 </w:t>
      </w:r>
      <w:r>
        <w:rPr>
          <w:rStyle w:val="CharStyle41"/>
          <w:color w:val="565656"/>
        </w:rPr>
        <w:t xml:space="preserve">по </w:t>
      </w:r>
      <w:r>
        <w:rPr>
          <w:rStyle w:val="CharStyle41"/>
        </w:rPr>
        <w:t>10.10.2026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6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9" behindDoc="0" locked="0" layoutInCell="1" allowOverlap="1">
            <wp:simplePos x="0" y="0"/>
            <wp:positionH relativeFrom="page">
              <wp:posOffset>3136900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9999999999999pt;margin-top:11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3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6"/>
        </w:rPr>
        <w:t>М.В. Сорбучева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Кому </w:t>
      </w:r>
      <w:r>
        <w:rPr>
          <w:rStyle w:val="CharStyle41"/>
          <w:color w:val="565656"/>
        </w:rPr>
        <w:t xml:space="preserve">выдан: </w:t>
      </w:r>
      <w:r>
        <w:rPr>
          <w:rStyle w:val="CharStyle41"/>
          <w:color w:val="000000"/>
        </w:rPr>
        <w:t>Сорбучева Мария Васильевна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Сертификат </w:t>
      </w:r>
      <w:r>
        <w:rPr>
          <w:rStyle w:val="CharStyle41"/>
          <w:color w:val="292929"/>
        </w:rPr>
        <w:t xml:space="preserve">№ </w:t>
      </w:r>
      <w:r>
        <w:rPr>
          <w:rStyle w:val="CharStyle41"/>
          <w:lang w:val="en-US" w:eastAsia="en-US"/>
        </w:rPr>
        <w:t>00F3B71218F970424B4D41C7097434F304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41"/>
        </w:rPr>
        <w:t xml:space="preserve">Действителен с 19.09.2024 </w:t>
      </w:r>
      <w:r>
        <w:rPr>
          <w:rStyle w:val="CharStyle41"/>
          <w:color w:val="565656"/>
        </w:rPr>
        <w:t>по 13.12.2025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90" behindDoc="0" locked="0" layoutInCell="1" allowOverlap="1">
            <wp:simplePos x="0" y="0"/>
            <wp:positionH relativeFrom="page">
              <wp:posOffset>3136900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pt;margin-top:11.80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3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6"/>
        </w:rPr>
        <w:t>О.А. Челнова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Кому выдан: </w:t>
      </w:r>
      <w:r>
        <w:rPr>
          <w:rStyle w:val="CharStyle41"/>
          <w:color w:val="000000"/>
        </w:rPr>
        <w:t>Челнова Олеся Антоновна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Сертификат </w:t>
      </w:r>
      <w:r>
        <w:rPr>
          <w:rStyle w:val="CharStyle41"/>
          <w:color w:val="292929"/>
        </w:rPr>
        <w:t xml:space="preserve">№ </w:t>
      </w:r>
      <w:r>
        <w:rPr>
          <w:rStyle w:val="CharStyle41"/>
          <w:lang w:val="en-US" w:eastAsia="en-US"/>
        </w:rPr>
        <w:t>05605B6072C3BC92D25AFCA81C80B531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rStyle w:val="CharStyle41"/>
        </w:rPr>
        <w:t xml:space="preserve">Действителен с 23.05.2025 </w:t>
      </w:r>
      <w:r>
        <w:rPr>
          <w:rStyle w:val="CharStyle41"/>
          <w:color w:val="565656"/>
        </w:rPr>
        <w:t xml:space="preserve">по </w:t>
      </w:r>
      <w:r>
        <w:rPr>
          <w:rStyle w:val="CharStyle41"/>
        </w:rPr>
        <w:t>16.08.2026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6"/>
          <w:sz w:val="22"/>
          <w:szCs w:val="22"/>
        </w:rPr>
        <w:t>Исп.Челнова О.А.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6"/>
          <w:sz w:val="22"/>
          <w:szCs w:val="22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2" w:bottom="116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10214610</wp:posOffset>
              </wp:positionV>
              <wp:extent cx="73152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2025-41853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804.30000000000007pt;width:57.600000000000001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2025-41853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9961245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2025-41853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149999999999999pt;margin-top:784.35000000000002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2025-41853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9961245</wp:posOffset>
              </wp:positionV>
              <wp:extent cx="72263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2025-41853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149999999999999pt;margin-top:784.35000000000002pt;width:56.899999999999999pt;height:7.90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2025-41853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439420</wp:posOffset>
              </wp:positionV>
              <wp:extent cx="6096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5000000000002pt;margin-top:34.600000000000001pt;width:4.7999999999999998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3886835</wp:posOffset>
              </wp:positionH>
              <wp:positionV relativeFrom="page">
                <wp:posOffset>440690</wp:posOffset>
              </wp:positionV>
              <wp:extent cx="15240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6.05000000000001pt;margin-top:34.700000000000003pt;width:12.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439420</wp:posOffset>
              </wp:positionV>
              <wp:extent cx="60960" cy="10668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35000000000002pt;margin-top:34.600000000000001pt;width:4.7999999999999998pt;height:8.40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3886835</wp:posOffset>
              </wp:positionH>
              <wp:positionV relativeFrom="page">
                <wp:posOffset>440690</wp:posOffset>
              </wp:positionV>
              <wp:extent cx="15240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6.05000000000001pt;margin-top:34.700000000000003pt;width:12.pt;height:7.90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Other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8">
    <w:name w:val="Picture caption_"/>
    <w:basedOn w:val="DefaultParagraphFont"/>
    <w:link w:val="Styl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0"/>
      <w:szCs w:val="10"/>
      <w:u w:val="none"/>
    </w:rPr>
  </w:style>
  <w:style w:type="character" w:customStyle="1" w:styleId="CharStyle41">
    <w:name w:val="Body text (2)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 (3)"/>
    <w:basedOn w:val="Normal"/>
    <w:link w:val="CharStyle10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Other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  <w:spacing w:line="252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7">
    <w:name w:val="Picture caption"/>
    <w:basedOn w:val="Normal"/>
    <w:link w:val="CharStyle38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0"/>
      <w:szCs w:val="10"/>
      <w:u w:val="none"/>
    </w:rPr>
  </w:style>
  <w:style w:type="paragraph" w:customStyle="1" w:styleId="Style40">
    <w:name w:val="Body text (2)"/>
    <w:basedOn w:val="Normal"/>
    <w:link w:val="CharStyle4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