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140" w:line="288" w:lineRule="auto"/>
        <w:ind w:left="0" w:right="0" w:firstLine="0"/>
        <w:jc w:val="center"/>
        <w:rPr>
          <w:sz w:val="17"/>
          <w:szCs w:val="17"/>
        </w:rPr>
      </w:pPr>
      <w:r>
        <w:rPr>
          <w:rStyle w:val="CharStyle6"/>
          <w:b/>
          <w:bCs/>
          <w:sz w:val="17"/>
          <w:szCs w:val="17"/>
        </w:rPr>
        <w:t>ФЕДЕРАЛЬНАЯ</w:t>
        <w:br/>
        <w:t>АНТИМОНОПОЛЬНАЯ СЛУЖБА</w:t>
      </w:r>
    </w:p>
    <w:p>
      <w:pPr>
        <w:pStyle w:val="Style8"/>
        <w:keepNext w:val="0"/>
        <w:keepLines w:val="0"/>
        <w:widowControl w:val="0"/>
        <w:shd w:val="clear" w:color="auto" w:fill="auto"/>
        <w:bidi w:val="0"/>
        <w:spacing w:before="0" w:after="0"/>
        <w:ind w:left="0" w:right="0" w:firstLine="0"/>
        <w:jc w:val="center"/>
      </w:pPr>
      <w:r>
        <w:rPr>
          <w:rStyle w:val="CharStyle9"/>
          <w:b/>
          <w:bCs/>
        </w:rPr>
        <w:t>УПРАВЛЕНИЕ</w:t>
      </w:r>
    </w:p>
    <w:p>
      <w:pPr>
        <w:pStyle w:val="Style5"/>
        <w:keepNext w:val="0"/>
        <w:keepLines w:val="0"/>
        <w:widowControl w:val="0"/>
        <w:shd w:val="clear" w:color="auto" w:fill="auto"/>
        <w:bidi w:val="0"/>
        <w:spacing w:before="0" w:after="140"/>
        <w:ind w:left="0" w:right="0" w:firstLine="0"/>
        <w:jc w:val="center"/>
        <w:rPr>
          <w:sz w:val="17"/>
          <w:szCs w:val="17"/>
        </w:rPr>
      </w:pPr>
      <w:r>
        <w:rPr>
          <w:rStyle w:val="CharStyle6"/>
          <w:b/>
          <w:bCs/>
          <w:sz w:val="17"/>
          <w:szCs w:val="17"/>
        </w:rPr>
        <w:t>Федеральной антимонопольной службы</w:t>
        <w:br/>
        <w:t>по Курганской области</w:t>
      </w:r>
    </w:p>
    <w:p>
      <w:pPr>
        <w:pStyle w:val="Style5"/>
        <w:keepNext w:val="0"/>
        <w:keepLines w:val="0"/>
        <w:widowControl w:val="0"/>
        <w:shd w:val="clear" w:color="auto" w:fill="auto"/>
        <w:bidi w:val="0"/>
        <w:spacing w:before="0" w:after="240" w:line="276" w:lineRule="auto"/>
        <w:ind w:left="0" w:right="0" w:firstLine="0"/>
        <w:jc w:val="center"/>
      </w:pPr>
      <w:r>
        <w:rPr>
          <w:rStyle w:val="CharStyle6"/>
        </w:rPr>
        <w:t>ул. М. Горького, 40, г. Курган, 640020</w:t>
        <w:br/>
        <w:t>тел. (3522) 46-39-55, факс (3522) 46-39-85</w:t>
        <w:br/>
      </w:r>
      <w:r>
        <w:rPr>
          <w:rStyle w:val="CharStyle6"/>
          <w:lang w:val="en-US" w:eastAsia="en-US"/>
        </w:rPr>
        <w:t xml:space="preserve">e-mail: </w:t>
      </w:r>
      <w:r>
        <w:fldChar w:fldCharType="begin"/>
      </w:r>
      <w:r>
        <w:rPr/>
        <w:instrText> HYPERLINK "mailto:to45@fas.gov.ru" </w:instrText>
      </w:r>
      <w:r>
        <w:fldChar w:fldCharType="separate"/>
      </w:r>
      <w:r>
        <w:rPr>
          <w:rStyle w:val="CharStyle6"/>
          <w:lang w:val="en-US" w:eastAsia="en-US"/>
        </w:rPr>
        <w:t>to45@fas.gov.ru</w:t>
      </w:r>
      <w:r>
        <w:fldChar w:fldCharType="end"/>
      </w:r>
    </w:p>
    <w:p>
      <w:pPr>
        <w:pStyle w:val="Style10"/>
        <w:keepNext/>
        <w:keepLines/>
        <w:widowControl w:val="0"/>
        <w:shd w:val="clear" w:color="auto" w:fill="auto"/>
        <w:tabs>
          <w:tab w:pos="1843" w:val="left"/>
        </w:tabs>
        <w:bidi w:val="0"/>
        <w:spacing w:before="0" w:line="240" w:lineRule="auto"/>
        <w:ind w:left="0" w:right="0" w:firstLine="0"/>
        <w:jc w:val="center"/>
      </w:pPr>
      <w:r>
        <w:fldChar w:fldCharType="begin"/>
      </w:r>
      <w:r>
        <w:rPr/>
        <w:instrText> HYPERLINK "file://f207ca94-a13c-4ba0-b72d-f018c9eed8f1/" </w:instrText>
      </w:r>
      <w:r>
        <w:fldChar w:fldCharType="separate"/>
      </w:r>
      <w:bookmarkStart w:id="0" w:name="bookmark0"/>
      <w:r>
        <w:rPr>
          <w:rStyle w:val="CharStyle11"/>
        </w:rPr>
        <w:t>25.07.2025</w:t>
      </w:r>
      <w:r>
        <w:fldChar w:fldCharType="end"/>
      </w:r>
      <w:r>
        <w:rPr>
          <w:rStyle w:val="CharStyle11"/>
        </w:rPr>
        <w:tab/>
        <w:t>№ 2456/25</w:t>
      </w:r>
      <w:bookmarkEnd w:id="0"/>
    </w:p>
    <w:p>
      <w:pPr>
        <w:pStyle w:val="Style12"/>
        <w:keepNext w:val="0"/>
        <w:keepLines w:val="0"/>
        <w:widowControl w:val="0"/>
        <w:shd w:val="clear" w:color="auto" w:fill="auto"/>
        <w:bidi w:val="0"/>
        <w:spacing w:before="0" w:after="0" w:line="266" w:lineRule="auto"/>
        <w:ind w:left="0" w:right="0" w:firstLine="0"/>
        <w:jc w:val="left"/>
        <w:rPr>
          <w:sz w:val="18"/>
          <w:szCs w:val="18"/>
        </w:rPr>
      </w:pPr>
      <w:r>
        <w:rPr>
          <w:rStyle w:val="CharStyle13"/>
          <w:color w:val="476197"/>
          <w:sz w:val="18"/>
          <w:szCs w:val="18"/>
        </w:rPr>
        <w:t xml:space="preserve">На №  от</w:t>
      </w:r>
    </w:p>
    <w:p>
      <w:pPr>
        <w:widowControl w:val="0"/>
        <w:jc w:val="center"/>
        <w:rPr>
          <w:sz w:val="2"/>
          <w:szCs w:val="2"/>
        </w:rPr>
      </w:pPr>
      <w:r>
        <w:drawing>
          <wp:inline>
            <wp:extent cx="2597150" cy="182880"/>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ext cx="2597150" cy="182880"/>
                    </a:xfrm>
                    <a:prstGeom prst="rect"/>
                  </pic:spPr>
                </pic:pic>
              </a:graphicData>
            </a:graphic>
          </wp:inline>
        </w:drawing>
      </w:r>
    </w:p>
    <w:p>
      <w:pPr>
        <w:pStyle w:val="Style15"/>
        <w:keepNext w:val="0"/>
        <w:keepLines w:val="0"/>
        <w:widowControl w:val="0"/>
        <w:shd w:val="clear" w:color="auto" w:fill="auto"/>
        <w:bidi w:val="0"/>
        <w:spacing w:before="0" w:after="0" w:line="240" w:lineRule="auto"/>
        <w:ind w:left="0" w:right="0" w:firstLine="0"/>
        <w:jc w:val="left"/>
      </w:pPr>
      <w:r>
        <w:rPr>
          <w:rStyle w:val="CharStyle16"/>
        </w:rPr>
        <w:t>ТЕРРИТОРИАЛЬНЫЙ ФОНД ОБЯЗАТЕЛЬНОГО МЕДИЦИНСКОГО СТРАХОВАНИЯ КУРГАНСКОЙ</w:t>
      </w:r>
    </w:p>
    <w:p>
      <w:pPr>
        <w:pStyle w:val="Style15"/>
        <w:keepNext w:val="0"/>
        <w:keepLines w:val="0"/>
        <w:widowControl w:val="0"/>
        <w:shd w:val="clear" w:color="auto" w:fill="auto"/>
        <w:bidi w:val="0"/>
        <w:spacing w:before="0" w:after="0" w:line="240" w:lineRule="auto"/>
        <w:ind w:left="0" w:right="0" w:firstLine="0"/>
        <w:jc w:val="left"/>
      </w:pPr>
      <w:r>
        <w:rPr>
          <w:rStyle w:val="CharStyle16"/>
        </w:rPr>
        <w:t>ОБЛАСТИ</w:t>
      </w:r>
    </w:p>
    <w:p>
      <w:pPr>
        <w:pStyle w:val="Style15"/>
        <w:keepNext w:val="0"/>
        <w:keepLines w:val="0"/>
        <w:widowControl w:val="0"/>
        <w:shd w:val="clear" w:color="auto" w:fill="auto"/>
        <w:bidi w:val="0"/>
        <w:spacing w:before="0" w:after="0" w:line="240" w:lineRule="auto"/>
        <w:ind w:left="0" w:right="0" w:firstLine="0"/>
        <w:jc w:val="left"/>
      </w:pPr>
      <w:r>
        <w:rPr>
          <w:rStyle w:val="CharStyle16"/>
        </w:rPr>
        <w:t>Российская Федерация, 640002, Курганская обл, Курган г, УЛ</w:t>
      </w:r>
    </w:p>
    <w:p>
      <w:pPr>
        <w:pStyle w:val="Style15"/>
        <w:keepNext w:val="0"/>
        <w:keepLines w:val="0"/>
        <w:widowControl w:val="0"/>
        <w:shd w:val="clear" w:color="auto" w:fill="auto"/>
        <w:bidi w:val="0"/>
        <w:spacing w:before="0" w:after="280" w:line="240" w:lineRule="auto"/>
        <w:ind w:left="0" w:right="0" w:firstLine="0"/>
        <w:jc w:val="left"/>
      </w:pPr>
      <w:r>
        <w:rPr>
          <w:rStyle w:val="CharStyle16"/>
        </w:rPr>
        <w:t xml:space="preserve">СОВЕТСКАЯ, Д. 81 </w:t>
      </w:r>
      <w:r>
        <w:fldChar w:fldCharType="begin"/>
      </w:r>
      <w:r>
        <w:rPr/>
        <w:instrText> HYPERLINK "mailto:info@ktfoms.ru" </w:instrText>
      </w:r>
      <w:r>
        <w:fldChar w:fldCharType="separate"/>
      </w:r>
      <w:r>
        <w:rPr>
          <w:rStyle w:val="CharStyle16"/>
          <w:lang w:val="en-US" w:eastAsia="en-US"/>
        </w:rPr>
        <w:t>info@ktfoms.ru</w:t>
      </w:r>
      <w:r>
        <w:fldChar w:fldCharType="end"/>
      </w:r>
    </w:p>
    <w:p>
      <w:pPr>
        <w:pStyle w:val="Style15"/>
        <w:keepNext w:val="0"/>
        <w:keepLines w:val="0"/>
        <w:widowControl w:val="0"/>
        <w:shd w:val="clear" w:color="auto" w:fill="auto"/>
        <w:bidi w:val="0"/>
        <w:spacing w:before="0" w:after="0" w:line="240" w:lineRule="auto"/>
        <w:ind w:left="0" w:right="0" w:firstLine="0"/>
        <w:jc w:val="both"/>
      </w:pPr>
      <w:r>
        <w:rPr>
          <w:rStyle w:val="CharStyle16"/>
        </w:rPr>
        <w:t>Индивидуальный предприниматель</w:t>
      </w:r>
    </w:p>
    <w:p>
      <w:pPr>
        <w:pStyle w:val="Style15"/>
        <w:keepNext w:val="0"/>
        <w:keepLines w:val="0"/>
        <w:widowControl w:val="0"/>
        <w:shd w:val="clear" w:color="auto" w:fill="auto"/>
        <w:bidi w:val="0"/>
        <w:spacing w:before="0" w:after="0" w:line="240" w:lineRule="auto"/>
        <w:ind w:left="0" w:right="0" w:firstLine="0"/>
        <w:jc w:val="left"/>
      </w:pPr>
      <w:r>
        <w:rPr>
          <w:rStyle w:val="CharStyle16"/>
        </w:rPr>
        <w:t>Якунина Наталья Юрьевна 623357, Свердловская область, р-н</w:t>
      </w:r>
    </w:p>
    <w:p>
      <w:pPr>
        <w:pStyle w:val="Style15"/>
        <w:keepNext w:val="0"/>
        <w:keepLines w:val="0"/>
        <w:widowControl w:val="0"/>
        <w:shd w:val="clear" w:color="auto" w:fill="auto"/>
        <w:bidi w:val="0"/>
        <w:spacing w:before="0" w:after="0" w:line="240" w:lineRule="auto"/>
        <w:ind w:left="0" w:right="0" w:firstLine="0"/>
        <w:jc w:val="left"/>
      </w:pPr>
      <w:r>
        <w:rPr>
          <w:rStyle w:val="CharStyle16"/>
        </w:rPr>
        <w:t>Артинский, с. Поташка, ул. Ленина, д. 60</w:t>
      </w:r>
    </w:p>
    <w:p>
      <w:pPr>
        <w:pStyle w:val="Style15"/>
        <w:keepNext w:val="0"/>
        <w:keepLines w:val="0"/>
        <w:widowControl w:val="0"/>
        <w:shd w:val="clear" w:color="auto" w:fill="auto"/>
        <w:bidi w:val="0"/>
        <w:spacing w:before="0" w:after="280" w:line="240" w:lineRule="auto"/>
        <w:ind w:left="0" w:right="0" w:firstLine="0"/>
        <w:jc w:val="left"/>
      </w:pPr>
      <w:r>
        <w:fldChar w:fldCharType="begin"/>
      </w:r>
      <w:r>
        <w:rPr/>
        <w:instrText> HYPERLINK "mailto:n.yakunina@ro.ru" </w:instrText>
      </w:r>
      <w:r>
        <w:fldChar w:fldCharType="separate"/>
      </w:r>
      <w:r>
        <w:rPr>
          <w:rStyle w:val="CharStyle16"/>
          <w:lang w:val="en-US" w:eastAsia="en-US"/>
        </w:rPr>
        <w:t>n.yakunina@ro.ru</w:t>
      </w:r>
      <w:r>
        <w:fldChar w:fldCharType="end"/>
      </w:r>
    </w:p>
    <w:p>
      <w:pPr>
        <w:pStyle w:val="Style15"/>
        <w:keepNext w:val="0"/>
        <w:keepLines w:val="0"/>
        <w:widowControl w:val="0"/>
        <w:shd w:val="clear" w:color="auto" w:fill="auto"/>
        <w:bidi w:val="0"/>
        <w:spacing w:before="0" w:after="0" w:line="240" w:lineRule="auto"/>
        <w:ind w:left="0" w:right="0" w:firstLine="0"/>
        <w:jc w:val="left"/>
      </w:pPr>
      <w:r>
        <w:rPr>
          <w:rStyle w:val="CharStyle16"/>
        </w:rPr>
        <w:t>ООО «АйтиПрофиЛаб» 117342, г. Москва, вн.тер.г.</w:t>
      </w:r>
    </w:p>
    <w:p>
      <w:pPr>
        <w:pStyle w:val="Style15"/>
        <w:keepNext w:val="0"/>
        <w:keepLines w:val="0"/>
        <w:widowControl w:val="0"/>
        <w:shd w:val="clear" w:color="auto" w:fill="auto"/>
        <w:bidi w:val="0"/>
        <w:spacing w:before="0" w:after="280" w:line="240" w:lineRule="auto"/>
        <w:ind w:left="0" w:right="0" w:firstLine="0"/>
        <w:jc w:val="both"/>
      </w:pPr>
      <w:r>
        <w:rPr>
          <w:rStyle w:val="CharStyle16"/>
        </w:rPr>
        <w:t>Муниципальный Округ Коньково, ул Бутлерова, д. 17, помещ. 133/5</w:t>
      </w:r>
    </w:p>
    <w:p>
      <w:pPr>
        <w:pStyle w:val="Style15"/>
        <w:keepNext w:val="0"/>
        <w:keepLines w:val="0"/>
        <w:widowControl w:val="0"/>
        <w:shd w:val="clear" w:color="auto" w:fill="auto"/>
        <w:bidi w:val="0"/>
        <w:spacing w:before="0" w:after="0" w:line="240" w:lineRule="auto"/>
        <w:ind w:left="0" w:right="0" w:firstLine="0"/>
        <w:jc w:val="left"/>
        <w:sectPr>
          <w:footerReference w:type="default" r:id="rId9"/>
          <w:footerReference w:type="first" r:id="rId10"/>
          <w:footnotePr>
            <w:pos w:val="pageBottom"/>
            <w:numFmt w:val="decimal"/>
            <w:numRestart w:val="continuous"/>
          </w:footnotePr>
          <w:pgSz w:w="11900" w:h="16840"/>
          <w:pgMar w:top="279" w:right="723" w:bottom="1212" w:left="1135" w:header="0" w:footer="3" w:gutter="0"/>
          <w:pgNumType w:start="1"/>
          <w:cols w:num="2" w:space="720" w:equalWidth="0">
            <w:col w:w="4099" w:space="1166"/>
            <w:col w:w="4776"/>
          </w:cols>
          <w:noEndnote/>
          <w:titlePg/>
          <w:rtlGutter w:val="0"/>
          <w:docGrid w:linePitch="360"/>
        </w:sectPr>
      </w:pPr>
      <w:r>
        <w:fldChar w:fldCharType="begin"/>
      </w:r>
      <w:r>
        <w:rPr/>
        <w:instrText> HYPERLINK "mailto:info@itprofilab.ru" </w:instrText>
      </w:r>
      <w:r>
        <w:fldChar w:fldCharType="separate"/>
      </w:r>
      <w:r>
        <w:rPr>
          <w:rStyle w:val="CharStyle16"/>
          <w:lang w:val="en-US" w:eastAsia="en-US"/>
        </w:rPr>
        <w:t>info@itprofilab.ru</w:t>
      </w:r>
      <w:r>
        <w:fldChar w:fldCharType="end"/>
      </w:r>
    </w:p>
    <w:p>
      <w:pPr>
        <w:widowControl w:val="0"/>
        <w:spacing w:line="89" w:lineRule="exact"/>
        <w:rPr>
          <w:sz w:val="7"/>
          <w:szCs w:val="7"/>
        </w:rPr>
      </w:pPr>
    </w:p>
    <w:p>
      <w:pPr>
        <w:widowControl w:val="0"/>
        <w:spacing w:line="1" w:lineRule="exact"/>
        <w:sectPr>
          <w:footnotePr>
            <w:pos w:val="pageBottom"/>
            <w:numFmt w:val="decimal"/>
            <w:numRestart w:val="continuous"/>
          </w:footnotePr>
          <w:type w:val="continuous"/>
          <w:pgSz w:w="11900" w:h="16840"/>
          <w:pgMar w:top="279" w:right="0" w:bottom="1212" w:left="0" w:header="0" w:footer="3" w:gutter="0"/>
          <w:cols w:space="720"/>
          <w:noEndnote/>
          <w:rtlGutter w:val="0"/>
          <w:docGrid w:linePitch="360"/>
        </w:sectPr>
      </w:pPr>
    </w:p>
    <w:p>
      <w:pPr>
        <w:pStyle w:val="Style15"/>
        <w:keepNext w:val="0"/>
        <w:keepLines w:val="0"/>
        <w:widowControl w:val="0"/>
        <w:shd w:val="clear" w:color="auto" w:fill="auto"/>
        <w:bidi w:val="0"/>
        <w:spacing w:before="0" w:after="280" w:line="240" w:lineRule="auto"/>
        <w:ind w:left="0" w:right="0" w:firstLine="0"/>
        <w:jc w:val="center"/>
      </w:pPr>
      <w:r>
        <w:rPr>
          <w:rStyle w:val="CharStyle16"/>
          <w:b/>
          <w:bCs/>
        </w:rPr>
        <w:t>Решение по делу о нарушении законодательства о контрактной системе в</w:t>
        <w:br/>
        <w:t>сфере закупок № 045/06/105-449/2025</w:t>
      </w:r>
    </w:p>
    <w:p>
      <w:pPr>
        <w:pStyle w:val="Style15"/>
        <w:keepNext w:val="0"/>
        <w:keepLines w:val="0"/>
        <w:widowControl w:val="0"/>
        <w:shd w:val="clear" w:color="auto" w:fill="auto"/>
        <w:bidi w:val="0"/>
        <w:spacing w:before="0" w:after="280" w:line="240" w:lineRule="auto"/>
        <w:ind w:left="0" w:right="0" w:firstLine="0"/>
        <w:jc w:val="both"/>
      </w:pPr>
      <w:r>
        <mc:AlternateContent>
          <mc:Choice Requires="wps">
            <w:drawing>
              <wp:anchor distT="0" distB="0" distL="114300" distR="114300" simplePos="0" relativeHeight="125829378" behindDoc="0" locked="0" layoutInCell="1" allowOverlap="1">
                <wp:simplePos x="0" y="0"/>
                <wp:positionH relativeFrom="page">
                  <wp:posOffset>6313805</wp:posOffset>
                </wp:positionH>
                <wp:positionV relativeFrom="paragraph">
                  <wp:posOffset>12700</wp:posOffset>
                </wp:positionV>
                <wp:extent cx="697865" cy="250190"/>
                <wp:wrapSquare wrapText="left"/>
                <wp:docPr id="7" name="Shape 7"/>
                <a:graphic xmlns:a="http://schemas.openxmlformats.org/drawingml/2006/main">
                  <a:graphicData uri="http://schemas.microsoft.com/office/word/2010/wordprocessingShape">
                    <wps:wsp>
                      <wps:cNvSpPr txBox="1"/>
                      <wps:spPr>
                        <a:xfrm>
                          <a:ext cx="697865" cy="25019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right"/>
                            </w:pPr>
                            <w:r>
                              <w:rPr>
                                <w:rStyle w:val="CharStyle16"/>
                              </w:rPr>
                              <w:t>г. Курган</w:t>
                            </w:r>
                          </w:p>
                        </w:txbxContent>
                      </wps:txbx>
                      <wps:bodyPr wrap="none" lIns="0" tIns="0" rIns="0" bIns="0">
                        <a:noAutoFit/>
                      </wps:bodyPr>
                    </wps:wsp>
                  </a:graphicData>
                </a:graphic>
              </wp:anchor>
            </w:drawing>
          </mc:Choice>
          <mc:Fallback>
            <w:pict>
              <v:shape id="_x0000_s1033" type="#_x0000_t202" style="position:absolute;margin-left:497.15000000000003pt;margin-top:1.pt;width:54.950000000000003pt;height:19.699999999999999pt;z-index:-125829375;mso-wrap-distance-left:9.pt;mso-wrap-distance-right:9.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right"/>
                      </w:pPr>
                      <w:r>
                        <w:rPr>
                          <w:rStyle w:val="CharStyle16"/>
                        </w:rPr>
                        <w:t>г. Курган</w:t>
                      </w:r>
                    </w:p>
                  </w:txbxContent>
                </v:textbox>
                <w10:wrap type="square" side="left" anchorx="page"/>
              </v:shape>
            </w:pict>
          </mc:Fallback>
        </mc:AlternateContent>
      </w:r>
      <w:r>
        <w:rPr>
          <w:rStyle w:val="CharStyle16"/>
        </w:rPr>
        <w:t>17.07.2025 г.</w:t>
      </w:r>
    </w:p>
    <w:p>
      <w:pPr>
        <w:pStyle w:val="Style15"/>
        <w:keepNext w:val="0"/>
        <w:keepLines w:val="0"/>
        <w:widowControl w:val="0"/>
        <w:shd w:val="clear" w:color="auto" w:fill="auto"/>
        <w:bidi w:val="0"/>
        <w:spacing w:before="0" w:after="0" w:line="240" w:lineRule="auto"/>
        <w:ind w:left="0" w:right="0" w:firstLine="740"/>
        <w:jc w:val="both"/>
      </w:pPr>
      <w:r>
        <w:rPr>
          <w:rStyle w:val="CharStyle16"/>
        </w:rPr>
        <w:t>Комиссия Управления Федеральной антимонопольной службы по Курганской области по контролю в сфере закупок на территории Курганской области (далее - Комиссия Курганского УФАС России, Комиссия Управления) в составе:</w:t>
      </w:r>
    </w:p>
    <w:p>
      <w:pPr>
        <w:pStyle w:val="Style15"/>
        <w:keepNext w:val="0"/>
        <w:keepLines w:val="0"/>
        <w:widowControl w:val="0"/>
        <w:shd w:val="clear" w:color="auto" w:fill="auto"/>
        <w:bidi w:val="0"/>
        <w:spacing w:before="0" w:after="0" w:line="240" w:lineRule="auto"/>
        <w:ind w:left="0" w:right="0" w:firstLine="740"/>
        <w:jc w:val="both"/>
      </w:pPr>
      <w:r>
        <w:rPr>
          <w:rStyle w:val="CharStyle16"/>
          <w:b/>
          <w:bCs/>
        </w:rPr>
        <w:t xml:space="preserve">Заместитель Председателя Комиссии: </w:t>
      </w:r>
      <w:r>
        <w:rPr>
          <w:rStyle w:val="CharStyle16"/>
        </w:rPr>
        <w:t>– Чеботина М.П. – заместитель начальника отдела контроля закупок и антимонопольного регулирования органов власти Курганского УФАС России;</w:t>
      </w:r>
    </w:p>
    <w:p>
      <w:pPr>
        <w:pStyle w:val="Style15"/>
        <w:keepNext w:val="0"/>
        <w:keepLines w:val="0"/>
        <w:widowControl w:val="0"/>
        <w:shd w:val="clear" w:color="auto" w:fill="auto"/>
        <w:bidi w:val="0"/>
        <w:spacing w:before="0" w:after="0" w:line="240" w:lineRule="auto"/>
        <w:ind w:left="0" w:right="0" w:firstLine="740"/>
        <w:jc w:val="both"/>
      </w:pPr>
      <w:r>
        <w:rPr>
          <w:rStyle w:val="CharStyle16"/>
          <w:b/>
          <w:bCs/>
        </w:rPr>
        <w:t>Члены Комиссии:</w:t>
      </w:r>
    </w:p>
    <w:p>
      <w:pPr>
        <w:pStyle w:val="Style15"/>
        <w:keepNext w:val="0"/>
        <w:keepLines w:val="0"/>
        <w:widowControl w:val="0"/>
        <w:shd w:val="clear" w:color="auto" w:fill="auto"/>
        <w:bidi w:val="0"/>
        <w:spacing w:before="0" w:after="0" w:line="240" w:lineRule="auto"/>
        <w:ind w:left="0" w:right="0" w:firstLine="740"/>
        <w:jc w:val="both"/>
      </w:pPr>
      <w:r>
        <w:rPr>
          <w:rStyle w:val="CharStyle16"/>
        </w:rPr>
        <w:t>Дудина М.С. – старший государственный инспектор отдела контроля закупок и антимонопольного регулирования органов власти Курганского УФАС России;</w:t>
      </w:r>
    </w:p>
    <w:p>
      <w:pPr>
        <w:pStyle w:val="Style15"/>
        <w:keepNext w:val="0"/>
        <w:keepLines w:val="0"/>
        <w:widowControl w:val="0"/>
        <w:shd w:val="clear" w:color="auto" w:fill="auto"/>
        <w:bidi w:val="0"/>
        <w:spacing w:before="0" w:after="0" w:line="240" w:lineRule="auto"/>
        <w:ind w:left="0" w:right="0" w:firstLine="740"/>
        <w:jc w:val="both"/>
      </w:pPr>
      <w:r>
        <w:rPr>
          <w:rStyle w:val="CharStyle16"/>
        </w:rPr>
        <w:t>Голубь И.А.– старший государственный инспектор отдела контроля товарных, финансовых рынков и рекламного законодательства Курганского УФАС России;</w:t>
      </w:r>
    </w:p>
    <w:p>
      <w:pPr>
        <w:pStyle w:val="Style15"/>
        <w:keepNext w:val="0"/>
        <w:keepLines w:val="0"/>
        <w:widowControl w:val="0"/>
        <w:shd w:val="clear" w:color="auto" w:fill="auto"/>
        <w:bidi w:val="0"/>
        <w:spacing w:before="0" w:after="200" w:line="240" w:lineRule="auto"/>
        <w:ind w:left="0" w:right="0" w:firstLine="740"/>
        <w:jc w:val="both"/>
      </w:pPr>
      <w:r>
        <w:rPr>
          <w:rStyle w:val="CharStyle16"/>
        </w:rPr>
        <w:t>при участии в заседании Комиссии Курганского УФАС России посредством представителей: заказчика –– Территориального фонда обязательного медицинского страхования Курганской области (далее – ТФ ОМС Курганской области, Заказчик),</w:t>
      </w:r>
    </w:p>
    <w:p>
      <w:pPr>
        <w:pStyle w:val="Style18"/>
        <w:keepNext/>
        <w:keepLines/>
        <w:widowControl w:val="0"/>
        <w:shd w:val="clear" w:color="auto" w:fill="auto"/>
        <w:bidi w:val="0"/>
        <w:spacing w:before="0" w:line="240" w:lineRule="auto"/>
        <w:ind w:left="0" w:right="0" w:firstLine="0"/>
        <w:jc w:val="left"/>
      </w:pPr>
      <w:bookmarkStart w:id="2" w:name="bookmark2"/>
      <w:r>
        <w:rPr>
          <w:rStyle w:val="CharStyle19"/>
        </w:rPr>
        <w:t>IIIIIIIIIMIIIIIIIIII</w:t>
      </w:r>
      <w:bookmarkEnd w:id="2"/>
    </w:p>
    <w:p>
      <w:pPr>
        <w:pStyle w:val="Style15"/>
        <w:keepNext w:val="0"/>
        <w:keepLines w:val="0"/>
        <w:widowControl w:val="0"/>
        <w:shd w:val="clear" w:color="auto" w:fill="auto"/>
        <w:bidi w:val="0"/>
        <w:spacing w:before="0" w:after="0" w:line="240" w:lineRule="auto"/>
        <w:ind w:left="0" w:right="0" w:firstLine="0"/>
        <w:jc w:val="both"/>
      </w:pPr>
      <w:r>
        <w:rPr>
          <w:rStyle w:val="CharStyle16"/>
        </w:rPr>
        <w:t xml:space="preserve">заявителя </w:t>
      </w:r>
      <w:r>
        <w:rPr>
          <w:rStyle w:val="CharStyle16"/>
          <w:lang w:val="en-US" w:eastAsia="en-US"/>
        </w:rPr>
        <w:t xml:space="preserve">– </w:t>
      </w:r>
      <w:r>
        <w:rPr>
          <w:rStyle w:val="CharStyle16"/>
        </w:rPr>
        <w:t xml:space="preserve">индивидуального предпринимателя Якуниной Натальи Юрьевны (далее </w:t>
      </w:r>
      <w:r>
        <w:rPr>
          <w:rStyle w:val="CharStyle16"/>
          <w:lang w:val="en-US" w:eastAsia="en-US"/>
        </w:rPr>
        <w:t xml:space="preserve">– </w:t>
      </w:r>
      <w:r>
        <w:rPr>
          <w:rStyle w:val="CharStyle16"/>
        </w:rPr>
        <w:t xml:space="preserve">ИП Якунина Н.Ю., Заявитель), заинтересованного лица </w:t>
      </w:r>
      <w:r>
        <w:rPr>
          <w:rStyle w:val="CharStyle16"/>
          <w:lang w:val="en-US" w:eastAsia="en-US"/>
        </w:rPr>
        <w:t xml:space="preserve">– </w:t>
      </w:r>
      <w:r>
        <w:rPr>
          <w:rStyle w:val="CharStyle16"/>
        </w:rPr>
        <w:t xml:space="preserve">участника закупки Общества с ограниченной ответственностью «АЙТИПРОФИЛАБ» (далее </w:t>
      </w:r>
      <w:r>
        <w:rPr>
          <w:rStyle w:val="CharStyle16"/>
          <w:lang w:val="en-US" w:eastAsia="en-US"/>
        </w:rPr>
        <w:t xml:space="preserve">– </w:t>
      </w:r>
      <w:r>
        <w:rPr>
          <w:rStyle w:val="CharStyle16"/>
        </w:rPr>
        <w:t>ООО «АЙТИПРОФИЛАБ»),</w:t>
      </w:r>
    </w:p>
    <w:p>
      <w:pPr>
        <w:pStyle w:val="Style15"/>
        <w:keepNext w:val="0"/>
        <w:keepLines w:val="0"/>
        <w:widowControl w:val="0"/>
        <w:shd w:val="clear" w:color="auto" w:fill="auto"/>
        <w:bidi w:val="0"/>
        <w:spacing w:before="0" w:after="280" w:line="240" w:lineRule="auto"/>
        <w:ind w:left="0" w:right="0" w:firstLine="720"/>
        <w:jc w:val="both"/>
      </w:pPr>
      <w:r>
        <w:rPr>
          <w:rStyle w:val="CharStyle16"/>
        </w:rPr>
        <w:t xml:space="preserve">рассмотрев жалобу Заявителя на действия Заказчика при осуществлении закупки в форме электронного запроса котировок на поставку серверов хранения данных с установленным программным обеспечением (извещение </w:t>
      </w:r>
      <w:r>
        <w:rPr>
          <w:rStyle w:val="CharStyle16"/>
          <w:lang w:val="en-US" w:eastAsia="en-US"/>
        </w:rPr>
        <w:t xml:space="preserve">№ 0243100002425000029), </w:t>
      </w:r>
      <w:r>
        <w:rPr>
          <w:rStyle w:val="CharStyle16"/>
        </w:rPr>
        <w:t xml:space="preserve">и осуществив внеплановую проверку, руководствуясь статьями </w:t>
      </w:r>
      <w:r>
        <w:rPr>
          <w:rStyle w:val="CharStyle16"/>
          <w:lang w:val="en-US" w:eastAsia="en-US"/>
        </w:rPr>
        <w:t xml:space="preserve">99, 105, 106 </w:t>
      </w:r>
      <w:r>
        <w:rPr>
          <w:rStyle w:val="CharStyle16"/>
        </w:rPr>
        <w:t xml:space="preserve">Федерального закона от </w:t>
      </w:r>
      <w:r>
        <w:rPr>
          <w:rStyle w:val="CharStyle16"/>
          <w:lang w:val="en-US" w:eastAsia="en-US"/>
        </w:rPr>
        <w:t xml:space="preserve">05.04.2013 № </w:t>
      </w:r>
      <w:r>
        <w:rPr>
          <w:rStyle w:val="CharStyle16"/>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6"/>
          <w:lang w:val="en-US" w:eastAsia="en-US"/>
        </w:rPr>
        <w:t xml:space="preserve">– </w:t>
      </w:r>
      <w:r>
        <w:rPr>
          <w:rStyle w:val="CharStyle16"/>
        </w:rPr>
        <w:t xml:space="preserve">Закон о контрактной системе, Закон), Правилами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утвержденными Постановлением Правительства Российской Федерации от </w:t>
      </w:r>
      <w:r>
        <w:rPr>
          <w:rStyle w:val="CharStyle16"/>
          <w:lang w:val="en-US" w:eastAsia="en-US"/>
        </w:rPr>
        <w:t>01.10.2020 № 1576,</w:t>
      </w:r>
    </w:p>
    <w:p>
      <w:pPr>
        <w:pStyle w:val="Style15"/>
        <w:keepNext w:val="0"/>
        <w:keepLines w:val="0"/>
        <w:widowControl w:val="0"/>
        <w:shd w:val="clear" w:color="auto" w:fill="auto"/>
        <w:bidi w:val="0"/>
        <w:spacing w:before="0" w:after="280" w:line="240" w:lineRule="auto"/>
        <w:ind w:left="0" w:right="0" w:firstLine="0"/>
        <w:jc w:val="center"/>
      </w:pPr>
      <w:r>
        <w:rPr>
          <w:rStyle w:val="CharStyle16"/>
          <w:b/>
          <w:bCs/>
        </w:rPr>
        <w:t>УСТАНОВИЛА:</w:t>
      </w:r>
    </w:p>
    <w:p>
      <w:pPr>
        <w:pStyle w:val="Style15"/>
        <w:keepNext w:val="0"/>
        <w:keepLines w:val="0"/>
        <w:widowControl w:val="0"/>
        <w:shd w:val="clear" w:color="auto" w:fill="auto"/>
        <w:bidi w:val="0"/>
        <w:spacing w:before="0" w:after="0" w:line="240" w:lineRule="auto"/>
        <w:ind w:left="0" w:right="0" w:firstLine="720"/>
        <w:jc w:val="both"/>
      </w:pPr>
      <w:r>
        <w:rPr>
          <w:rStyle w:val="CharStyle16"/>
          <w:lang w:val="en-US" w:eastAsia="en-US"/>
        </w:rPr>
        <w:t xml:space="preserve">11.07.2025 </w:t>
      </w:r>
      <w:r>
        <w:rPr>
          <w:rStyle w:val="CharStyle16"/>
        </w:rPr>
        <w:t xml:space="preserve">в Курганское УФАС России поступила жалоба Заявителя (вх. </w:t>
      </w:r>
      <w:r>
        <w:rPr>
          <w:rStyle w:val="CharStyle16"/>
          <w:lang w:val="en-US" w:eastAsia="en-US"/>
        </w:rPr>
        <w:t xml:space="preserve">№ № 3756/25 </w:t>
      </w:r>
      <w:r>
        <w:rPr>
          <w:rStyle w:val="CharStyle16"/>
        </w:rPr>
        <w:t xml:space="preserve">от </w:t>
      </w:r>
      <w:r>
        <w:rPr>
          <w:rStyle w:val="CharStyle16"/>
          <w:lang w:val="en-US" w:eastAsia="en-US"/>
        </w:rPr>
        <w:t xml:space="preserve">11.07.2025) </w:t>
      </w:r>
      <w:r>
        <w:rPr>
          <w:rStyle w:val="CharStyle16"/>
        </w:rPr>
        <w:t xml:space="preserve">на действия Заказчика при осуществлении закупки в форме электронного запроса котировок на поставку серверов хранения данных с установленным программным обеспечением (извещение </w:t>
      </w:r>
      <w:r>
        <w:rPr>
          <w:rStyle w:val="CharStyle16"/>
          <w:lang w:val="en-US" w:eastAsia="en-US"/>
        </w:rPr>
        <w:t>№ 0243100002425000029).</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Жалоба Заявителя подана в надлежащий срок, а также соответствует требованиям, предусмотренным статьей </w:t>
      </w:r>
      <w:r>
        <w:rPr>
          <w:rStyle w:val="CharStyle16"/>
          <w:lang w:val="en-US" w:eastAsia="en-US"/>
        </w:rPr>
        <w:t xml:space="preserve">105 </w:t>
      </w:r>
      <w:r>
        <w:rPr>
          <w:rStyle w:val="CharStyle16"/>
        </w:rPr>
        <w:t>Закона о контрактной системе.</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В жалобе </w:t>
      </w:r>
      <w:r>
        <w:rPr>
          <w:rStyle w:val="CharStyle16"/>
          <w:b/>
          <w:bCs/>
        </w:rPr>
        <w:t xml:space="preserve">Заявитель </w:t>
      </w:r>
      <w:r>
        <w:rPr>
          <w:rStyle w:val="CharStyle16"/>
        </w:rPr>
        <w:t>указывает, что в описании объекта закупки Заказчиком прописаны характеристики, которые ограничивают возможность участия в закупке: Серверы:</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Количество слотов для установки плат расширения </w:t>
      </w:r>
      <w:r>
        <w:rPr>
          <w:rStyle w:val="CharStyle16"/>
          <w:lang w:val="en-US" w:eastAsia="en-US"/>
        </w:rPr>
        <w:t>PCIe x16 ≥ 5;</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Количество занимаемых юнитов в стойке </w:t>
      </w:r>
      <w:r>
        <w:rPr>
          <w:rStyle w:val="CharStyle16"/>
          <w:lang w:val="en-US" w:eastAsia="en-US"/>
        </w:rPr>
        <w:t>≤ 1.</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Заказчиком установлены характеристики, не включенные в КТРУ и прямо ограничивающие конкуренцию в связи с тем, что единственным производителем, предлагающим одновременное удовлетворение вышеуказанным требованиям, является ООО «ДЕПО Электроникс» </w:t>
      </w:r>
      <w:r>
        <w:rPr>
          <w:rStyle w:val="CharStyle16"/>
          <w:lang w:val="en-US" w:eastAsia="en-US"/>
        </w:rPr>
        <w:t>(DEPO Computers).</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Заявитель считает, что Заказчиком нарушены правила описания объекта закупки, предусмотренные статьей </w:t>
      </w:r>
      <w:r>
        <w:rPr>
          <w:rStyle w:val="CharStyle16"/>
          <w:lang w:val="en-US" w:eastAsia="en-US"/>
        </w:rPr>
        <w:t xml:space="preserve">33 </w:t>
      </w:r>
      <w:r>
        <w:rPr>
          <w:rStyle w:val="CharStyle16"/>
        </w:rPr>
        <w:t>Закона о контрактной системе.</w:t>
      </w:r>
    </w:p>
    <w:p>
      <w:pPr>
        <w:pStyle w:val="Style15"/>
        <w:keepNext w:val="0"/>
        <w:keepLines w:val="0"/>
        <w:widowControl w:val="0"/>
        <w:shd w:val="clear" w:color="auto" w:fill="auto"/>
        <w:bidi w:val="0"/>
        <w:spacing w:before="0" w:after="280" w:line="240" w:lineRule="auto"/>
        <w:ind w:left="0" w:right="0" w:firstLine="720"/>
        <w:jc w:val="both"/>
      </w:pPr>
      <w:r>
        <w:rPr>
          <w:rStyle w:val="CharStyle16"/>
        </w:rPr>
        <w:t>Заявитель просит: приостановить определение поставщика (подрядчика, исполнителя) в части заключения контракта заказчиком до рассмотрения жалобы по существу; признать жалобу обоснованной; выдать предписание об устранении допущенных нарушений путем внесения изменений в извещение о проведении электронного аукциона в части устранения выявленных нарушений в соответствии с требованиями Закона о контрактной системе.</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В соответствии с частью </w:t>
      </w:r>
      <w:r>
        <w:rPr>
          <w:rStyle w:val="CharStyle16"/>
          <w:lang w:val="en-US" w:eastAsia="en-US"/>
        </w:rPr>
        <w:t xml:space="preserve">1 </w:t>
      </w:r>
      <w:r>
        <w:rPr>
          <w:rStyle w:val="CharStyle16"/>
        </w:rPr>
        <w:t xml:space="preserve">статьи </w:t>
      </w:r>
      <w:r>
        <w:rPr>
          <w:rStyle w:val="CharStyle16"/>
          <w:lang w:val="en-US" w:eastAsia="en-US"/>
        </w:rPr>
        <w:t xml:space="preserve">106 </w:t>
      </w:r>
      <w:r>
        <w:rPr>
          <w:rStyle w:val="CharStyle16"/>
        </w:rPr>
        <w:t>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 При этом возражение на жалобу направляется в контрольный орган в сфере закупок не позднее рабочего дня, предшествующего дню рассмотрения жалобы, по существу.</w:t>
      </w:r>
    </w:p>
    <w:p>
      <w:pPr>
        <w:pStyle w:val="Style15"/>
        <w:keepNext w:val="0"/>
        <w:keepLines w:val="0"/>
        <w:widowControl w:val="0"/>
        <w:shd w:val="clear" w:color="auto" w:fill="auto"/>
        <w:bidi w:val="0"/>
        <w:spacing w:before="0" w:after="0" w:line="240" w:lineRule="auto"/>
        <w:ind w:left="0" w:right="0" w:firstLine="720"/>
        <w:jc w:val="both"/>
      </w:pPr>
      <w:r>
        <w:rPr>
          <w:rStyle w:val="CharStyle16"/>
        </w:rPr>
        <w:t>В соответствии с данной нормой права Курганским УФАС России у Заказчика были запрошены письменные пояснения с правовым и документальным обоснованием по доводам жалобы Заявителя.</w:t>
      </w:r>
    </w:p>
    <w:p>
      <w:pPr>
        <w:pStyle w:val="Style15"/>
        <w:keepNext w:val="0"/>
        <w:keepLines w:val="0"/>
        <w:widowControl w:val="0"/>
        <w:shd w:val="clear" w:color="auto" w:fill="auto"/>
        <w:bidi w:val="0"/>
        <w:spacing w:before="0" w:after="0" w:line="240" w:lineRule="auto"/>
        <w:ind w:left="0" w:right="0" w:firstLine="720"/>
        <w:jc w:val="both"/>
      </w:pPr>
      <w:r>
        <w:rPr>
          <w:rStyle w:val="CharStyle16"/>
        </w:rPr>
        <w:t>От Заказчика поступили письменные возражения, согласно которым следует, что с доводами жалобы не согласен, считает ее необоснованной, по основания изложенным в письменных пояснениях, приобщенных к материалам дела.</w:t>
      </w:r>
    </w:p>
    <w:p>
      <w:pPr>
        <w:pStyle w:val="Style15"/>
        <w:keepNext w:val="0"/>
        <w:keepLines w:val="0"/>
        <w:widowControl w:val="0"/>
        <w:shd w:val="clear" w:color="auto" w:fill="auto"/>
        <w:bidi w:val="0"/>
        <w:spacing w:before="0" w:after="0" w:line="240" w:lineRule="auto"/>
        <w:ind w:left="0" w:right="0" w:firstLine="720"/>
        <w:jc w:val="both"/>
      </w:pPr>
      <w:r>
        <w:rPr>
          <w:rStyle w:val="CharStyle16"/>
        </w:rPr>
        <w:t>К материалам дела также приобщены пояснения и документы, направленные ООО «АЙТИПРОФИЛАБ».</w:t>
      </w:r>
    </w:p>
    <w:p>
      <w:pPr>
        <w:pStyle w:val="Style15"/>
        <w:keepNext w:val="0"/>
        <w:keepLines w:val="0"/>
        <w:widowControl w:val="0"/>
        <w:shd w:val="clear" w:color="auto" w:fill="auto"/>
        <w:bidi w:val="0"/>
        <w:spacing w:before="0" w:after="0" w:line="240" w:lineRule="auto"/>
        <w:ind w:left="0" w:right="0" w:firstLine="720"/>
        <w:jc w:val="both"/>
      </w:pPr>
      <w:r>
        <w:rPr>
          <w:rStyle w:val="CharStyle16"/>
          <w:b/>
          <w:bCs/>
        </w:rPr>
        <w:t xml:space="preserve">Руководствуясь статьями </w:t>
      </w:r>
      <w:r>
        <w:rPr>
          <w:rStyle w:val="CharStyle16"/>
          <w:b/>
          <w:bCs/>
          <w:lang w:val="en-US" w:eastAsia="en-US"/>
        </w:rPr>
        <w:t xml:space="preserve">99, 106 </w:t>
      </w:r>
      <w:r>
        <w:rPr>
          <w:rStyle w:val="CharStyle16"/>
          <w:b/>
          <w:bCs/>
        </w:rPr>
        <w:t xml:space="preserve">Закона о контрактной системе Комиссией Курганского УФАС России установлено, </w:t>
      </w:r>
      <w:r>
        <w:rPr>
          <w:rStyle w:val="CharStyle16"/>
        </w:rPr>
        <w:t xml:space="preserve">что </w:t>
      </w:r>
      <w:r>
        <w:rPr>
          <w:rStyle w:val="CharStyle16"/>
          <w:lang w:val="en-US" w:eastAsia="en-US"/>
        </w:rPr>
        <w:t xml:space="preserve">04.06.2025 </w:t>
      </w:r>
      <w:r>
        <w:rPr>
          <w:rStyle w:val="CharStyle16"/>
        </w:rPr>
        <w:t xml:space="preserve">на официальном сайте ЕИС в сети Интернет Заказчиком опубликовано извещение </w:t>
      </w:r>
      <w:r>
        <w:rPr>
          <w:rStyle w:val="CharStyle16"/>
          <w:lang w:val="en-US" w:eastAsia="en-US"/>
        </w:rPr>
        <w:t xml:space="preserve">№ 0243100002425000029 </w:t>
      </w:r>
      <w:r>
        <w:rPr>
          <w:rStyle w:val="CharStyle16"/>
        </w:rPr>
        <w:t>на поставку серверов хранения данных.</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Начальная цена контракта составляет </w:t>
      </w:r>
      <w:r>
        <w:rPr>
          <w:rStyle w:val="CharStyle16"/>
          <w:lang w:val="en-US" w:eastAsia="en-US"/>
        </w:rPr>
        <w:t xml:space="preserve">5 400 000,00 </w:t>
      </w:r>
      <w:r>
        <w:rPr>
          <w:rStyle w:val="CharStyle16"/>
        </w:rPr>
        <w:t>рублей.</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Согласно действующей редакции извещения дата и время окончания срока подачи заявок: </w:t>
      </w:r>
      <w:r>
        <w:rPr>
          <w:rStyle w:val="CharStyle16"/>
          <w:lang w:val="en-US" w:eastAsia="en-US"/>
        </w:rPr>
        <w:t xml:space="preserve">11.07.2025 08:00 </w:t>
      </w:r>
      <w:r>
        <w:rPr>
          <w:rStyle w:val="CharStyle16"/>
        </w:rPr>
        <w:t>(МСК+2).</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Дата подведения итогов определения поставщика (подрядчика, исполнителя) </w:t>
      </w:r>
      <w:r>
        <w:rPr>
          <w:rStyle w:val="CharStyle16"/>
          <w:lang w:val="en-US" w:eastAsia="en-US"/>
        </w:rPr>
        <w:t>– 14.07.2025.</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Согласно Протоколу подведения итогов определения поставщика (подрядчика, исполнителя) </w:t>
      </w:r>
      <w:r>
        <w:rPr>
          <w:rStyle w:val="CharStyle16"/>
          <w:lang w:val="en-US" w:eastAsia="en-US"/>
        </w:rPr>
        <w:t xml:space="preserve">№ 0243100002425000029 </w:t>
      </w:r>
      <w:r>
        <w:rPr>
          <w:rStyle w:val="CharStyle16"/>
        </w:rPr>
        <w:t xml:space="preserve">от </w:t>
      </w:r>
      <w:r>
        <w:rPr>
          <w:rStyle w:val="CharStyle16"/>
          <w:lang w:val="en-US" w:eastAsia="en-US"/>
        </w:rPr>
        <w:t xml:space="preserve">11.07.2025 </w:t>
      </w:r>
      <w:r>
        <w:rPr>
          <w:rStyle w:val="CharStyle16"/>
        </w:rPr>
        <w:t xml:space="preserve">на участие в электронном аукционе было подана </w:t>
      </w:r>
      <w:r>
        <w:rPr>
          <w:rStyle w:val="CharStyle16"/>
          <w:lang w:val="en-US" w:eastAsia="en-US"/>
        </w:rPr>
        <w:t xml:space="preserve">1 </w:t>
      </w:r>
      <w:r>
        <w:rPr>
          <w:rStyle w:val="CharStyle16"/>
        </w:rPr>
        <w:t>заявка, которая признана комиссией по осуществлению закупок соответствующей требованиям извещения.</w:t>
      </w:r>
    </w:p>
    <w:p>
      <w:pPr>
        <w:pStyle w:val="Style15"/>
        <w:keepNext w:val="0"/>
        <w:keepLines w:val="0"/>
        <w:widowControl w:val="0"/>
        <w:shd w:val="clear" w:color="auto" w:fill="auto"/>
        <w:bidi w:val="0"/>
        <w:spacing w:before="0" w:after="0" w:line="240" w:lineRule="auto"/>
        <w:ind w:left="0" w:right="0" w:firstLine="720"/>
        <w:jc w:val="both"/>
      </w:pPr>
      <w:r>
        <w:rPr>
          <w:rStyle w:val="CharStyle16"/>
        </w:rPr>
        <w:t>На момент рассмотрения жалобы по существу контракт не заключен.</w:t>
      </w:r>
    </w:p>
    <w:p>
      <w:pPr>
        <w:pStyle w:val="Style15"/>
        <w:keepNext w:val="0"/>
        <w:keepLines w:val="0"/>
        <w:widowControl w:val="0"/>
        <w:shd w:val="clear" w:color="auto" w:fill="auto"/>
        <w:bidi w:val="0"/>
        <w:spacing w:before="0" w:after="0" w:line="240" w:lineRule="auto"/>
        <w:ind w:left="0" w:right="0" w:firstLine="720"/>
        <w:jc w:val="both"/>
      </w:pPr>
      <w:r>
        <w:rPr>
          <w:rStyle w:val="CharStyle16"/>
        </w:rPr>
        <w:t>Оценивая доводы Заявителя, изложенные в жалобе, а также документы, представленные Заказчиком приобщенные к материалам дела по рассмотрению жалобы, Комиссия Курганского УФАС России приходит к следующим выводам.</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Согласно статье </w:t>
      </w:r>
      <w:r>
        <w:rPr>
          <w:rStyle w:val="CharStyle16"/>
          <w:lang w:val="en-US" w:eastAsia="en-US"/>
        </w:rPr>
        <w:t xml:space="preserve">7 </w:t>
      </w:r>
      <w:r>
        <w:rPr>
          <w:rStyle w:val="CharStyle16"/>
        </w:rPr>
        <w:t>Закона о контрактной системе, в Российской Федерации обеспечивается свободный и безвозмездный доступ к информации о контрактной системе в сфере закупок.</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Открытость и прозрачность информации, указанной в части </w:t>
      </w:r>
      <w:r>
        <w:rPr>
          <w:rStyle w:val="CharStyle16"/>
          <w:lang w:val="en-US" w:eastAsia="en-US"/>
        </w:rPr>
        <w:t xml:space="preserve">1 </w:t>
      </w:r>
      <w:r>
        <w:rPr>
          <w:rStyle w:val="CharStyle16"/>
        </w:rPr>
        <w:t>статьи, обеспечиваются, в частности, путем ее размещения в единой информационной системе.</w:t>
      </w:r>
    </w:p>
    <w:p>
      <w:pPr>
        <w:pStyle w:val="Style15"/>
        <w:keepNext w:val="0"/>
        <w:keepLines w:val="0"/>
        <w:widowControl w:val="0"/>
        <w:shd w:val="clear" w:color="auto" w:fill="auto"/>
        <w:bidi w:val="0"/>
        <w:spacing w:before="0" w:after="0" w:line="240" w:lineRule="auto"/>
        <w:ind w:left="0" w:right="0" w:firstLine="720"/>
        <w:jc w:val="both"/>
      </w:pPr>
      <w:r>
        <w:rPr>
          <w:rStyle w:val="CharStyle16"/>
        </w:rPr>
        <w:t>Информация, предусмотренная Законом о контрактной системе и размещенная в единой информационной системе, должна быть полной и достоверной.</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Часть </w:t>
      </w:r>
      <w:r>
        <w:rPr>
          <w:rStyle w:val="CharStyle16"/>
          <w:lang w:val="en-US" w:eastAsia="en-US"/>
        </w:rPr>
        <w:t xml:space="preserve">1 </w:t>
      </w:r>
      <w:r>
        <w:rPr>
          <w:rStyle w:val="CharStyle16"/>
        </w:rPr>
        <w:t xml:space="preserve">статьи </w:t>
      </w:r>
      <w:r>
        <w:rPr>
          <w:rStyle w:val="CharStyle16"/>
          <w:lang w:val="en-US" w:eastAsia="en-US"/>
        </w:rPr>
        <w:t xml:space="preserve">8 </w:t>
      </w:r>
      <w:r>
        <w:rPr>
          <w:rStyle w:val="CharStyle16"/>
        </w:rPr>
        <w:t>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w:t>
      </w:r>
    </w:p>
    <w:p>
      <w:pPr>
        <w:pStyle w:val="Style15"/>
        <w:keepNext w:val="0"/>
        <w:keepLines w:val="0"/>
        <w:widowControl w:val="0"/>
        <w:shd w:val="clear" w:color="auto" w:fill="auto"/>
        <w:bidi w:val="0"/>
        <w:spacing w:before="0" w:after="0" w:line="240" w:lineRule="auto"/>
        <w:ind w:left="0" w:right="0" w:firstLine="0"/>
        <w:jc w:val="both"/>
      </w:pPr>
      <w:r>
        <w:rPr>
          <w:rStyle w:val="CharStyle16"/>
        </w:rPr>
        <w:t>нормативными правовыми актами о контрактной системе в сфере закупок стать поставщиком (подрядчиком, исполнителем).</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В соответствии с частью </w:t>
      </w:r>
      <w:r>
        <w:rPr>
          <w:rStyle w:val="CharStyle16"/>
          <w:lang w:val="en-US" w:eastAsia="en-US"/>
        </w:rPr>
        <w:t xml:space="preserve">2 </w:t>
      </w:r>
      <w:r>
        <w:rPr>
          <w:rStyle w:val="CharStyle16"/>
        </w:rPr>
        <w:t xml:space="preserve">статьи </w:t>
      </w:r>
      <w:r>
        <w:rPr>
          <w:rStyle w:val="CharStyle16"/>
          <w:lang w:val="en-US" w:eastAsia="en-US"/>
        </w:rPr>
        <w:t xml:space="preserve">8 </w:t>
      </w:r>
      <w:r>
        <w:rPr>
          <w:rStyle w:val="CharStyle16"/>
        </w:rPr>
        <w:t>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Закона, в том числе приводят к ограничению конкуренции, в частности к необоснованному ограничению числа участников закупок.</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В части </w:t>
      </w:r>
      <w:r>
        <w:rPr>
          <w:rStyle w:val="CharStyle16"/>
          <w:lang w:val="en-US" w:eastAsia="en-US"/>
        </w:rPr>
        <w:t xml:space="preserve">1 </w:t>
      </w:r>
      <w:r>
        <w:rPr>
          <w:rStyle w:val="CharStyle16"/>
        </w:rPr>
        <w:t xml:space="preserve">статьи </w:t>
      </w:r>
      <w:r>
        <w:rPr>
          <w:rStyle w:val="CharStyle16"/>
          <w:lang w:val="en-US" w:eastAsia="en-US"/>
        </w:rPr>
        <w:t xml:space="preserve">50 </w:t>
      </w:r>
      <w:r>
        <w:rPr>
          <w:rStyle w:val="CharStyle16"/>
        </w:rPr>
        <w:t>Закона о контрактной системе указано, что электронный запрос котировок начинается с размещения в единой информационной системе извещения об осуществлении закупки.</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В силу части </w:t>
      </w:r>
      <w:r>
        <w:rPr>
          <w:rStyle w:val="CharStyle16"/>
          <w:lang w:val="en-US" w:eastAsia="en-US"/>
        </w:rPr>
        <w:t xml:space="preserve">1 </w:t>
      </w:r>
      <w:r>
        <w:rPr>
          <w:rStyle w:val="CharStyle16"/>
        </w:rPr>
        <w:t xml:space="preserve">статьи </w:t>
      </w:r>
      <w:r>
        <w:rPr>
          <w:rStyle w:val="CharStyle16"/>
          <w:lang w:val="en-US" w:eastAsia="en-US"/>
        </w:rPr>
        <w:t xml:space="preserve">42 </w:t>
      </w:r>
      <w:r>
        <w:rPr>
          <w:rStyle w:val="CharStyle16"/>
        </w:rPr>
        <w:t xml:space="preserve">Закона о контрактной системе следует, что при осуществлении закупки путем проведения открытых конкурентных способов заказчик формирует с использованием единой информационной системы (далее </w:t>
      </w:r>
      <w:r>
        <w:rPr>
          <w:rStyle w:val="CharStyle16"/>
          <w:lang w:val="en-US" w:eastAsia="en-US"/>
        </w:rPr>
        <w:t xml:space="preserve">– </w:t>
      </w:r>
      <w:r>
        <w:rPr>
          <w:rStyle w:val="CharStyle16"/>
        </w:rPr>
        <w:t>ЕИС), подписывает усиленной электронной подписью лица, имеющего право действовать от имени заказчика, и размещает в ЕИС извещение об осуществлении закупки.</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Часть </w:t>
      </w:r>
      <w:r>
        <w:rPr>
          <w:rStyle w:val="CharStyle16"/>
          <w:lang w:val="en-US" w:eastAsia="en-US"/>
        </w:rPr>
        <w:t xml:space="preserve">2 </w:t>
      </w:r>
      <w:r>
        <w:rPr>
          <w:rStyle w:val="CharStyle16"/>
        </w:rPr>
        <w:t xml:space="preserve">статьи </w:t>
      </w:r>
      <w:r>
        <w:rPr>
          <w:rStyle w:val="CharStyle16"/>
          <w:lang w:val="en-US" w:eastAsia="en-US"/>
        </w:rPr>
        <w:t xml:space="preserve">42 </w:t>
      </w:r>
      <w:r>
        <w:rPr>
          <w:rStyle w:val="CharStyle16"/>
        </w:rPr>
        <w:t>Закона о контрактной системе, прямо указывает на то, какие именно документы должны быть размещены в ЕИС в виде электронных документов.</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Пунктом </w:t>
      </w:r>
      <w:r>
        <w:rPr>
          <w:rStyle w:val="CharStyle16"/>
          <w:lang w:val="en-US" w:eastAsia="en-US"/>
        </w:rPr>
        <w:t xml:space="preserve">1 </w:t>
      </w:r>
      <w:r>
        <w:rPr>
          <w:rStyle w:val="CharStyle16"/>
        </w:rPr>
        <w:t xml:space="preserve">части </w:t>
      </w:r>
      <w:r>
        <w:rPr>
          <w:rStyle w:val="CharStyle16"/>
          <w:lang w:val="en-US" w:eastAsia="en-US"/>
        </w:rPr>
        <w:t xml:space="preserve">2 </w:t>
      </w:r>
      <w:r>
        <w:rPr>
          <w:rStyle w:val="CharStyle16"/>
        </w:rPr>
        <w:t xml:space="preserve">статьи </w:t>
      </w:r>
      <w:r>
        <w:rPr>
          <w:rStyle w:val="CharStyle16"/>
          <w:lang w:val="en-US" w:eastAsia="en-US"/>
        </w:rPr>
        <w:t xml:space="preserve">42 </w:t>
      </w:r>
      <w:r>
        <w:rPr>
          <w:rStyle w:val="CharStyle16"/>
        </w:rPr>
        <w:t xml:space="preserve">Закона о контрактной системе предусмотрено, что извещение об осуществлении закупки, если иное не предусмотрено Законом, должно содержать описание объекта закупки в соответствии со статьёй </w:t>
      </w:r>
      <w:r>
        <w:rPr>
          <w:rStyle w:val="CharStyle16"/>
          <w:lang w:val="en-US" w:eastAsia="en-US"/>
        </w:rPr>
        <w:t xml:space="preserve">33 </w:t>
      </w:r>
      <w:r>
        <w:rPr>
          <w:rStyle w:val="CharStyle16"/>
        </w:rPr>
        <w:t>Закона о контрактной системе.</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Правила описания объекта закупки определены в статье </w:t>
      </w:r>
      <w:r>
        <w:rPr>
          <w:rStyle w:val="CharStyle16"/>
          <w:lang w:val="en-US" w:eastAsia="en-US"/>
        </w:rPr>
        <w:t xml:space="preserve">33 </w:t>
      </w:r>
      <w:r>
        <w:rPr>
          <w:rStyle w:val="CharStyle16"/>
        </w:rPr>
        <w:t>Закона о контрактной системе, а также подзаконными актами, разработанными в целях реализации данной нормы.</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В силу пункта </w:t>
      </w:r>
      <w:r>
        <w:rPr>
          <w:rStyle w:val="CharStyle16"/>
          <w:lang w:val="en-US" w:eastAsia="en-US"/>
        </w:rPr>
        <w:t xml:space="preserve">1 </w:t>
      </w:r>
      <w:r>
        <w:rPr>
          <w:rStyle w:val="CharStyle16"/>
        </w:rPr>
        <w:t xml:space="preserve">части </w:t>
      </w:r>
      <w:r>
        <w:rPr>
          <w:rStyle w:val="CharStyle16"/>
          <w:lang w:val="en-US" w:eastAsia="en-US"/>
        </w:rPr>
        <w:t xml:space="preserve">1 </w:t>
      </w:r>
      <w:r>
        <w:rPr>
          <w:rStyle w:val="CharStyle16"/>
        </w:rPr>
        <w:t xml:space="preserve">статьи </w:t>
      </w:r>
      <w:r>
        <w:rPr>
          <w:rStyle w:val="CharStyle16"/>
          <w:lang w:val="en-US" w:eastAsia="en-US"/>
        </w:rPr>
        <w:t xml:space="preserve">33 </w:t>
      </w:r>
      <w:r>
        <w:rPr>
          <w:rStyle w:val="CharStyle16"/>
        </w:rPr>
        <w:t>Закона о контрактной системе Заказчик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5"/>
        <w:keepNext w:val="0"/>
        <w:keepLines w:val="0"/>
        <w:widowControl w:val="0"/>
        <w:numPr>
          <w:ilvl w:val="0"/>
          <w:numId w:val="1"/>
        </w:numPr>
        <w:shd w:val="clear" w:color="auto" w:fill="auto"/>
        <w:tabs>
          <w:tab w:pos="1076" w:val="left"/>
        </w:tabs>
        <w:bidi w:val="0"/>
        <w:spacing w:before="0" w:after="0" w:line="240" w:lineRule="auto"/>
        <w:ind w:left="0" w:right="0" w:firstLine="720"/>
        <w:jc w:val="both"/>
      </w:pPr>
      <w:r>
        <w:rPr>
          <w:rStyle w:val="CharStyle16"/>
        </w:rPr>
        <w:t>сопровождение такого указания словами "или эквивалент";</w:t>
      </w:r>
    </w:p>
    <w:p>
      <w:pPr>
        <w:pStyle w:val="Style15"/>
        <w:keepNext w:val="0"/>
        <w:keepLines w:val="0"/>
        <w:widowControl w:val="0"/>
        <w:numPr>
          <w:ilvl w:val="0"/>
          <w:numId w:val="1"/>
        </w:numPr>
        <w:shd w:val="clear" w:color="auto" w:fill="auto"/>
        <w:tabs>
          <w:tab w:pos="1126" w:val="left"/>
        </w:tabs>
        <w:bidi w:val="0"/>
        <w:spacing w:before="0" w:after="0" w:line="240" w:lineRule="auto"/>
        <w:ind w:left="0" w:right="0" w:firstLine="720"/>
        <w:jc w:val="both"/>
      </w:pPr>
      <w:r>
        <w:rPr>
          <w:rStyle w:val="CharStyle16"/>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5"/>
        <w:keepNext w:val="0"/>
        <w:keepLines w:val="0"/>
        <w:widowControl w:val="0"/>
        <w:numPr>
          <w:ilvl w:val="0"/>
          <w:numId w:val="1"/>
        </w:numPr>
        <w:shd w:val="clear" w:color="auto" w:fill="auto"/>
        <w:tabs>
          <w:tab w:pos="1126" w:val="left"/>
        </w:tabs>
        <w:bidi w:val="0"/>
        <w:spacing w:before="0" w:after="0" w:line="240" w:lineRule="auto"/>
        <w:ind w:left="0" w:right="0" w:firstLine="720"/>
        <w:jc w:val="both"/>
      </w:pPr>
      <w:r>
        <w:rPr>
          <w:rStyle w:val="CharStyle16"/>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5"/>
        <w:keepNext w:val="0"/>
        <w:keepLines w:val="0"/>
        <w:widowControl w:val="0"/>
        <w:numPr>
          <w:ilvl w:val="0"/>
          <w:numId w:val="1"/>
        </w:numPr>
        <w:shd w:val="clear" w:color="auto" w:fill="auto"/>
        <w:tabs>
          <w:tab w:pos="1126" w:val="left"/>
        </w:tabs>
        <w:bidi w:val="0"/>
        <w:spacing w:before="0" w:after="0" w:line="240" w:lineRule="auto"/>
        <w:ind w:left="0" w:right="0" w:firstLine="720"/>
        <w:jc w:val="both"/>
      </w:pPr>
      <w:r>
        <w:rPr>
          <w:rStyle w:val="CharStyle16"/>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Согласно части </w:t>
      </w:r>
      <w:r>
        <w:rPr>
          <w:rStyle w:val="CharStyle16"/>
          <w:lang w:val="en-US" w:eastAsia="en-US"/>
        </w:rPr>
        <w:t xml:space="preserve">2 </w:t>
      </w:r>
      <w:r>
        <w:rPr>
          <w:rStyle w:val="CharStyle16"/>
        </w:rPr>
        <w:t xml:space="preserve">статьи </w:t>
      </w:r>
      <w:r>
        <w:rPr>
          <w:rStyle w:val="CharStyle16"/>
          <w:lang w:val="en-US" w:eastAsia="en-US"/>
        </w:rPr>
        <w:t xml:space="preserve">33 </w:t>
      </w:r>
      <w:r>
        <w:rPr>
          <w:rStyle w:val="CharStyle16"/>
        </w:rPr>
        <w:t xml:space="preserve">Закона о контрактной системе описание объекта закупки в соответствии с требованиями, указанными в части </w:t>
      </w:r>
      <w:r>
        <w:rPr>
          <w:rStyle w:val="CharStyle16"/>
          <w:lang w:val="en-US" w:eastAsia="en-US"/>
        </w:rPr>
        <w:t xml:space="preserve">1 </w:t>
      </w:r>
      <w:r>
        <w:rPr>
          <w:rStyle w:val="CharStyle16"/>
        </w:rPr>
        <w:t>данной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5"/>
        <w:keepNext w:val="0"/>
        <w:keepLines w:val="0"/>
        <w:widowControl w:val="0"/>
        <w:shd w:val="clear" w:color="auto" w:fill="auto"/>
        <w:bidi w:val="0"/>
        <w:spacing w:before="0" w:after="0" w:line="240" w:lineRule="auto"/>
        <w:ind w:left="0" w:right="0" w:firstLine="720"/>
        <w:jc w:val="both"/>
      </w:pPr>
      <w:r>
        <w:rPr>
          <w:rStyle w:val="CharStyle16"/>
        </w:rPr>
        <w:t>Таким образом, при осуществлении закупки Заказчик вправе не только выбрать ее предмет, но и обязан определить его и описать в соответствии с положениями Закона о контрактной системе, именно таким образом, чтобы участник закупки смог подать заявку на участие в торгах, соответствующую объективным и обоснованным требованиям Заказчика. При этом заказчик вправе в необходимой степени детализировать требования к товару, так как Закон о контрактной системе не содержит норм, ограничивающих право заказчика включать в извещение об осуществлении закупки требования к объекту закупки, которые являются для него значимыми, а также норм, обязывающих заказчика устанавливать в документации, вопреки его потребностям, такие требования к характеристикам объекта закупки, которые соответствовали бы всем существующим видам товаров.</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Согласно пункту </w:t>
      </w:r>
      <w:r>
        <w:rPr>
          <w:rStyle w:val="CharStyle16"/>
          <w:lang w:val="en-US" w:eastAsia="en-US"/>
        </w:rPr>
        <w:t xml:space="preserve">5 </w:t>
      </w:r>
      <w:r>
        <w:rPr>
          <w:rStyle w:val="CharStyle16"/>
        </w:rPr>
        <w:t xml:space="preserve">части </w:t>
      </w:r>
      <w:r>
        <w:rPr>
          <w:rStyle w:val="CharStyle16"/>
          <w:lang w:val="en-US" w:eastAsia="en-US"/>
        </w:rPr>
        <w:t xml:space="preserve">1 </w:t>
      </w:r>
      <w:r>
        <w:rPr>
          <w:rStyle w:val="CharStyle16"/>
        </w:rPr>
        <w:t xml:space="preserve">статьи </w:t>
      </w:r>
      <w:r>
        <w:rPr>
          <w:rStyle w:val="CharStyle16"/>
          <w:lang w:val="en-US" w:eastAsia="en-US"/>
        </w:rPr>
        <w:t xml:space="preserve">42 </w:t>
      </w:r>
      <w:r>
        <w:rPr>
          <w:rStyle w:val="CharStyle16"/>
        </w:rPr>
        <w:t xml:space="preserve">Закона о контрактной системе извещение об осуществлении закупки должно содержать информацию о наименовании объекта закупки, информацию (при наличии), предусмотренную правилами использования каталога товаров, работ, услуг для обеспечения государственных и муниципальных нужд, установленными в соответствии с частью </w:t>
      </w:r>
      <w:r>
        <w:rPr>
          <w:rStyle w:val="CharStyle16"/>
          <w:lang w:val="en-US" w:eastAsia="en-US"/>
        </w:rPr>
        <w:t xml:space="preserve">6 </w:t>
      </w:r>
      <w:r>
        <w:rPr>
          <w:rStyle w:val="CharStyle16"/>
        </w:rPr>
        <w:t xml:space="preserve">статьи </w:t>
      </w:r>
      <w:r>
        <w:rPr>
          <w:rStyle w:val="CharStyle16"/>
          <w:lang w:val="en-US" w:eastAsia="en-US"/>
        </w:rPr>
        <w:t xml:space="preserve">23 </w:t>
      </w:r>
      <w:r>
        <w:rPr>
          <w:rStyle w:val="CharStyle16"/>
        </w:rPr>
        <w:t>Закона.</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В соответствии с частью </w:t>
      </w:r>
      <w:r>
        <w:rPr>
          <w:rStyle w:val="CharStyle16"/>
          <w:lang w:val="en-US" w:eastAsia="en-US"/>
        </w:rPr>
        <w:t xml:space="preserve">6 </w:t>
      </w:r>
      <w:r>
        <w:rPr>
          <w:rStyle w:val="CharStyle16"/>
        </w:rPr>
        <w:t xml:space="preserve">статьи </w:t>
      </w:r>
      <w:r>
        <w:rPr>
          <w:rStyle w:val="CharStyle16"/>
          <w:lang w:val="en-US" w:eastAsia="en-US"/>
        </w:rPr>
        <w:t xml:space="preserve">23 </w:t>
      </w:r>
      <w:r>
        <w:rPr>
          <w:rStyle w:val="CharStyle16"/>
        </w:rPr>
        <w:t>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В соответствии с пунктом </w:t>
      </w:r>
      <w:r>
        <w:rPr>
          <w:rStyle w:val="CharStyle16"/>
          <w:lang w:val="en-US" w:eastAsia="en-US"/>
        </w:rPr>
        <w:t xml:space="preserve">4 </w:t>
      </w:r>
      <w:r>
        <w:rPr>
          <w:rStyle w:val="CharStyle16"/>
        </w:rPr>
        <w:t xml:space="preserve">правил постановления Правительства РФ от </w:t>
      </w:r>
      <w:r>
        <w:rPr>
          <w:rStyle w:val="CharStyle16"/>
          <w:lang w:val="en-US" w:eastAsia="en-US"/>
        </w:rPr>
        <w:t xml:space="preserve">08.02.2017 № 145 </w:t>
      </w:r>
      <w:r>
        <w:rPr>
          <w:rStyle w:val="CharStyle16"/>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w:t>
      </w:r>
    </w:p>
    <w:p>
      <w:pPr>
        <w:pStyle w:val="Style15"/>
        <w:keepNext w:val="0"/>
        <w:keepLines w:val="0"/>
        <w:widowControl w:val="0"/>
        <w:shd w:val="clear" w:color="auto" w:fill="auto"/>
        <w:bidi w:val="0"/>
        <w:spacing w:before="0" w:after="0" w:line="240" w:lineRule="auto"/>
        <w:ind w:left="0" w:right="0" w:firstLine="0"/>
        <w:jc w:val="both"/>
      </w:pPr>
      <w:r>
        <w:rPr>
          <w:rStyle w:val="CharStyle16"/>
        </w:rPr>
        <w:t xml:space="preserve">каталога товаров, работ, услуг для обеспечения государственных и муниципальных нужд» (далее </w:t>
      </w:r>
      <w:r>
        <w:rPr>
          <w:rStyle w:val="CharStyle16"/>
          <w:lang w:val="en-US" w:eastAsia="en-US"/>
        </w:rPr>
        <w:t xml:space="preserve">– </w:t>
      </w:r>
      <w:r>
        <w:rPr>
          <w:rStyle w:val="CharStyle16"/>
        </w:rPr>
        <w:t xml:space="preserve">Постановление </w:t>
      </w:r>
      <w:r>
        <w:rPr>
          <w:rStyle w:val="CharStyle16"/>
          <w:lang w:val="en-US" w:eastAsia="en-US"/>
        </w:rPr>
        <w:t xml:space="preserve">№ 145) </w:t>
      </w:r>
      <w:r>
        <w:rPr>
          <w:rStyle w:val="CharStyle16"/>
        </w:rPr>
        <w:t xml:space="preserve">заказчики обязаны применять информацию, включенную в позицию каталога в соответствии с подпунктами «а» </w:t>
      </w:r>
      <w:r>
        <w:rPr>
          <w:rStyle w:val="CharStyle16"/>
          <w:lang w:val="en-US" w:eastAsia="en-US"/>
        </w:rPr>
        <w:t xml:space="preserve">- </w:t>
      </w:r>
      <w:r>
        <w:rPr>
          <w:rStyle w:val="CharStyle16"/>
        </w:rPr>
        <w:t xml:space="preserve">«г» и «е» </w:t>
      </w:r>
      <w:r>
        <w:rPr>
          <w:rStyle w:val="CharStyle16"/>
          <w:lang w:val="en-US" w:eastAsia="en-US"/>
        </w:rPr>
        <w:t xml:space="preserve">- </w:t>
      </w:r>
      <w:r>
        <w:rPr>
          <w:rStyle w:val="CharStyle16"/>
        </w:rPr>
        <w:t xml:space="preserve">«з» пункта </w:t>
      </w:r>
      <w:r>
        <w:rPr>
          <w:rStyle w:val="CharStyle16"/>
          <w:lang w:val="en-US" w:eastAsia="en-US"/>
        </w:rPr>
        <w:t xml:space="preserve">10. </w:t>
      </w:r>
      <w:r>
        <w:rPr>
          <w:rStyle w:val="CharStyle16"/>
        </w:rPr>
        <w:t>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5"/>
        <w:keepNext w:val="0"/>
        <w:keepLines w:val="0"/>
        <w:widowControl w:val="0"/>
        <w:numPr>
          <w:ilvl w:val="0"/>
          <w:numId w:val="3"/>
        </w:numPr>
        <w:shd w:val="clear" w:color="auto" w:fill="auto"/>
        <w:tabs>
          <w:tab w:pos="1094" w:val="left"/>
        </w:tabs>
        <w:bidi w:val="0"/>
        <w:spacing w:before="0" w:after="0" w:line="240" w:lineRule="auto"/>
        <w:ind w:left="0" w:right="0" w:firstLine="720"/>
        <w:jc w:val="both"/>
      </w:pPr>
      <w:r>
        <w:rPr>
          <w:rStyle w:val="CharStyle16"/>
        </w:rPr>
        <w:t>наименование товара, работы, услуги;</w:t>
      </w:r>
    </w:p>
    <w:p>
      <w:pPr>
        <w:pStyle w:val="Style15"/>
        <w:keepNext w:val="0"/>
        <w:keepLines w:val="0"/>
        <w:widowControl w:val="0"/>
        <w:numPr>
          <w:ilvl w:val="0"/>
          <w:numId w:val="3"/>
        </w:numPr>
        <w:shd w:val="clear" w:color="auto" w:fill="auto"/>
        <w:tabs>
          <w:tab w:pos="1142" w:val="left"/>
        </w:tabs>
        <w:bidi w:val="0"/>
        <w:spacing w:before="0" w:after="0" w:line="240" w:lineRule="auto"/>
        <w:ind w:left="0" w:right="0" w:firstLine="720"/>
        <w:jc w:val="both"/>
      </w:pPr>
      <w:r>
        <w:rPr>
          <w:rStyle w:val="CharStyle16"/>
        </w:rPr>
        <w:t>единицы измерения количества товара, объема выполняемой работы, оказываемой услуги (при наличии);</w:t>
      </w:r>
    </w:p>
    <w:p>
      <w:pPr>
        <w:pStyle w:val="Style15"/>
        <w:keepNext w:val="0"/>
        <w:keepLines w:val="0"/>
        <w:widowControl w:val="0"/>
        <w:numPr>
          <w:ilvl w:val="0"/>
          <w:numId w:val="3"/>
        </w:numPr>
        <w:shd w:val="clear" w:color="auto" w:fill="auto"/>
        <w:tabs>
          <w:tab w:pos="1099" w:val="left"/>
        </w:tabs>
        <w:bidi w:val="0"/>
        <w:spacing w:before="0" w:after="0" w:line="240" w:lineRule="auto"/>
        <w:ind w:left="0" w:right="0" w:firstLine="720"/>
        <w:jc w:val="both"/>
      </w:pPr>
      <w:r>
        <w:rPr>
          <w:rStyle w:val="CharStyle16"/>
        </w:rPr>
        <w:t>описание товара, работы, услуги (при наличии такого описания в позиции).</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Пунктом </w:t>
      </w:r>
      <w:r>
        <w:rPr>
          <w:rStyle w:val="CharStyle16"/>
          <w:lang w:val="en-US" w:eastAsia="en-US"/>
        </w:rPr>
        <w:t xml:space="preserve">7 </w:t>
      </w:r>
      <w:r>
        <w:rPr>
          <w:rStyle w:val="CharStyle16"/>
        </w:rPr>
        <w:t xml:space="preserve">правил Постановления </w:t>
      </w:r>
      <w:r>
        <w:rPr>
          <w:rStyle w:val="CharStyle16"/>
          <w:lang w:val="en-US" w:eastAsia="en-US"/>
        </w:rPr>
        <w:t xml:space="preserve">№ 145 </w:t>
      </w:r>
      <w:r>
        <w:rPr>
          <w:rStyle w:val="CharStyle16"/>
        </w:rPr>
        <w:t xml:space="preserve">предусмотрено,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w:t>
      </w:r>
      <w:r>
        <w:rPr>
          <w:rStyle w:val="CharStyle16"/>
          <w:lang w:val="en-US" w:eastAsia="en-US"/>
        </w:rPr>
        <w:t xml:space="preserve">33 </w:t>
      </w:r>
      <w:r>
        <w:rPr>
          <w:rStyle w:val="CharStyle16"/>
        </w:rPr>
        <w:t xml:space="preserve">Закона. </w:t>
      </w:r>
      <w:r>
        <w:rPr>
          <w:rStyle w:val="CharStyle16"/>
          <w:b/>
          <w:bCs/>
        </w:rPr>
        <w:t xml:space="preserve">При проведении </w:t>
      </w:r>
      <w:r>
        <w:rPr>
          <w:rStyle w:val="CharStyle16"/>
        </w:rPr>
        <w:t xml:space="preserve">предусмотренных Законом о контрактной системе </w:t>
      </w:r>
      <w:r>
        <w:rPr>
          <w:rStyle w:val="CharStyle16"/>
          <w:b/>
          <w:bCs/>
        </w:rPr>
        <w:t>электронных процедур</w:t>
      </w:r>
      <w:r>
        <w:rPr>
          <w:rStyle w:val="CharStyle16"/>
        </w:rPr>
        <w:t xml:space="preserve">, закрытых электронных процедур </w:t>
      </w:r>
      <w:r>
        <w:rPr>
          <w:rStyle w:val="CharStyle16"/>
          <w:b/>
          <w:bCs/>
        </w:rPr>
        <w:t xml:space="preserve">характеристики объекта закупки предусмотренные пунктом </w:t>
      </w:r>
      <w:r>
        <w:rPr>
          <w:rStyle w:val="CharStyle16"/>
          <w:b/>
          <w:bCs/>
          <w:lang w:val="en-US" w:eastAsia="en-US"/>
        </w:rPr>
        <w:t xml:space="preserve">1 </w:t>
      </w:r>
      <w:r>
        <w:rPr>
          <w:rStyle w:val="CharStyle16"/>
          <w:b/>
          <w:bCs/>
        </w:rPr>
        <w:t xml:space="preserve">части </w:t>
      </w:r>
      <w:r>
        <w:rPr>
          <w:rStyle w:val="CharStyle16"/>
          <w:b/>
          <w:bCs/>
          <w:lang w:val="en-US" w:eastAsia="en-US"/>
        </w:rPr>
        <w:t xml:space="preserve">1 </w:t>
      </w:r>
      <w:r>
        <w:rPr>
          <w:rStyle w:val="CharStyle16"/>
          <w:b/>
          <w:bCs/>
        </w:rPr>
        <w:t xml:space="preserve">статьи </w:t>
      </w:r>
      <w:r>
        <w:rPr>
          <w:rStyle w:val="CharStyle16"/>
          <w:b/>
          <w:bCs/>
          <w:lang w:val="en-US" w:eastAsia="en-US"/>
        </w:rPr>
        <w:t xml:space="preserve">33 </w:t>
      </w:r>
      <w:r>
        <w:rPr>
          <w:rStyle w:val="CharStyle16"/>
        </w:rPr>
        <w:t xml:space="preserve">Закона, </w:t>
      </w:r>
      <w:r>
        <w:rPr>
          <w:rStyle w:val="CharStyle16"/>
          <w:b/>
          <w:bCs/>
        </w:rPr>
        <w:t>указываются с использованием единой информационной системы при формировании извещения об осуществлении закупки</w:t>
      </w:r>
      <w:r>
        <w:rPr>
          <w:rStyle w:val="CharStyle16"/>
        </w:rPr>
        <w:t xml:space="preserve">, приглашения принять участие в определении поставщика (подрядчика, исполнителя) </w:t>
      </w:r>
      <w:r>
        <w:rPr>
          <w:rStyle w:val="CharStyle16"/>
          <w:b/>
          <w:bCs/>
        </w:rPr>
        <w:t xml:space="preserve">в соответствии с частью </w:t>
      </w:r>
      <w:r>
        <w:rPr>
          <w:rStyle w:val="CharStyle16"/>
          <w:b/>
          <w:bCs/>
          <w:lang w:val="en-US" w:eastAsia="en-US"/>
        </w:rPr>
        <w:t xml:space="preserve">1 </w:t>
      </w:r>
      <w:r>
        <w:rPr>
          <w:rStyle w:val="CharStyle16"/>
          <w:b/>
          <w:bCs/>
        </w:rPr>
        <w:t xml:space="preserve">статьи </w:t>
      </w:r>
      <w:r>
        <w:rPr>
          <w:rStyle w:val="CharStyle16"/>
          <w:b/>
          <w:bCs/>
          <w:lang w:val="en-US" w:eastAsia="en-US"/>
        </w:rPr>
        <w:t>42</w:t>
      </w:r>
      <w:r>
        <w:rPr>
          <w:rStyle w:val="CharStyle16"/>
          <w:lang w:val="en-US" w:eastAsia="en-US"/>
        </w:rPr>
        <w:t xml:space="preserve">, </w:t>
      </w:r>
      <w:r>
        <w:rPr>
          <w:rStyle w:val="CharStyle16"/>
        </w:rPr>
        <w:t xml:space="preserve">пунктом </w:t>
      </w:r>
      <w:r>
        <w:rPr>
          <w:rStyle w:val="CharStyle16"/>
          <w:lang w:val="en-US" w:eastAsia="en-US"/>
        </w:rPr>
        <w:t xml:space="preserve">1 </w:t>
      </w:r>
      <w:r>
        <w:rPr>
          <w:rStyle w:val="CharStyle16"/>
        </w:rPr>
        <w:t xml:space="preserve">части </w:t>
      </w:r>
      <w:r>
        <w:rPr>
          <w:rStyle w:val="CharStyle16"/>
          <w:lang w:val="en-US" w:eastAsia="en-US"/>
        </w:rPr>
        <w:t xml:space="preserve">1 </w:t>
      </w:r>
      <w:r>
        <w:rPr>
          <w:rStyle w:val="CharStyle16"/>
        </w:rPr>
        <w:t xml:space="preserve">статьи </w:t>
      </w:r>
      <w:r>
        <w:rPr>
          <w:rStyle w:val="CharStyle16"/>
          <w:lang w:val="en-US" w:eastAsia="en-US"/>
        </w:rPr>
        <w:t xml:space="preserve">75 </w:t>
      </w:r>
      <w:r>
        <w:rPr>
          <w:rStyle w:val="CharStyle16"/>
        </w:rPr>
        <w:t xml:space="preserve">Закона соответственно. В качестве кода каталога товара, работы, услуги, на которые в каталоге отсутствует соответствующая позиция, указывается код такого товара, работы, услуги согласно Общероссийскому классификатору продукции по видам экономической деятельности (ОКПД2) ОК </w:t>
      </w:r>
      <w:r>
        <w:rPr>
          <w:rStyle w:val="CharStyle16"/>
          <w:lang w:val="en-US" w:eastAsia="en-US"/>
        </w:rPr>
        <w:t>034</w:t>
        <w:softHyphen/>
        <w:t>2014.</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Относительно довода Заявителя о том, что товар описан под единственного производителя ООО «ДЕПО Электроникс» </w:t>
      </w:r>
      <w:r>
        <w:rPr>
          <w:rStyle w:val="CharStyle16"/>
          <w:lang w:val="en-US" w:eastAsia="en-US"/>
        </w:rPr>
        <w:t xml:space="preserve">(DEPO Computers), </w:t>
      </w:r>
      <w:r>
        <w:rPr>
          <w:rStyle w:val="CharStyle16"/>
        </w:rPr>
        <w:t>Комиссия Управления отмечает следующее.</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Как указывалось, ранее в соответствии с частью </w:t>
      </w:r>
      <w:r>
        <w:rPr>
          <w:rStyle w:val="CharStyle16"/>
          <w:lang w:val="en-US" w:eastAsia="en-US"/>
        </w:rPr>
        <w:t xml:space="preserve">1 </w:t>
      </w:r>
      <w:r>
        <w:rPr>
          <w:rStyle w:val="CharStyle16"/>
        </w:rPr>
        <w:t xml:space="preserve">статьи </w:t>
      </w:r>
      <w:r>
        <w:rPr>
          <w:rStyle w:val="CharStyle16"/>
          <w:lang w:val="en-US" w:eastAsia="en-US"/>
        </w:rPr>
        <w:t xml:space="preserve">33 </w:t>
      </w:r>
      <w:r>
        <w:rPr>
          <w:rStyle w:val="CharStyle16"/>
        </w:rPr>
        <w:t>Закона о контрактной системе при описании объекта закупки Заказчику необходимо указать функциональные, технические и качественные характеристики, эксплуатационные характеристики объекта закупки, при этом такие требования не должны повлечь за собой ограничение количества участников закупки.</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Представитель Заказчика в письменных возражениях указал, что при анализе рынка предлагаемого товара (Сервера) были представлены коммерческие предложения хозяйствующих субъектов и под описание объекта закупки подпадают товары иных производителей, такие как «Сервер серии Квантум </w:t>
      </w:r>
      <w:r>
        <w:rPr>
          <w:rStyle w:val="CharStyle16"/>
          <w:lang w:val="en-US" w:eastAsia="en-US"/>
        </w:rPr>
        <w:t xml:space="preserve">PR2312-DSGP3- 2R», </w:t>
      </w:r>
      <w:r>
        <w:rPr>
          <w:rStyle w:val="CharStyle16"/>
        </w:rPr>
        <w:t xml:space="preserve">«Сервер </w:t>
      </w:r>
      <w:r>
        <w:rPr>
          <w:rStyle w:val="CharStyle16"/>
          <w:lang w:val="en-US" w:eastAsia="en-US"/>
        </w:rPr>
        <w:t>F+tech FPD-R-13-SP-2212DX».</w:t>
      </w:r>
    </w:p>
    <w:p>
      <w:pPr>
        <w:pStyle w:val="Style15"/>
        <w:keepNext w:val="0"/>
        <w:keepLines w:val="0"/>
        <w:widowControl w:val="0"/>
        <w:shd w:val="clear" w:color="auto" w:fill="auto"/>
        <w:bidi w:val="0"/>
        <w:spacing w:before="0" w:after="0" w:line="240" w:lineRule="auto"/>
        <w:ind w:left="0" w:right="0" w:firstLine="720"/>
        <w:jc w:val="both"/>
      </w:pPr>
      <w:r>
        <w:rPr>
          <w:rStyle w:val="CharStyle16"/>
        </w:rPr>
        <w:t>Кроме того, представитель Заказчика пояснил, что в каталоге продукции ГИСП присутствуют серверы, соответствующие требованиям описания объекта закупки, составленного Заказчиком:</w:t>
      </w:r>
    </w:p>
    <w:p>
      <w:pPr>
        <w:pStyle w:val="Style15"/>
        <w:keepNext w:val="0"/>
        <w:keepLines w:val="0"/>
        <w:widowControl w:val="0"/>
        <w:numPr>
          <w:ilvl w:val="0"/>
          <w:numId w:val="5"/>
        </w:numPr>
        <w:shd w:val="clear" w:color="auto" w:fill="auto"/>
        <w:tabs>
          <w:tab w:pos="1061" w:val="left"/>
        </w:tabs>
        <w:bidi w:val="0"/>
        <w:spacing w:before="0" w:after="0" w:line="240" w:lineRule="auto"/>
        <w:ind w:left="0" w:right="0" w:firstLine="720"/>
        <w:jc w:val="both"/>
      </w:pPr>
      <w:r>
        <w:rPr>
          <w:rStyle w:val="CharStyle16"/>
        </w:rPr>
        <w:t xml:space="preserve">Сервер </w:t>
      </w:r>
      <w:r>
        <w:rPr>
          <w:rStyle w:val="CharStyle16"/>
          <w:lang w:val="en-US" w:eastAsia="en-US"/>
        </w:rPr>
        <w:t xml:space="preserve">RDW </w:t>
      </w:r>
      <w:r>
        <w:rPr>
          <w:rStyle w:val="CharStyle16"/>
        </w:rPr>
        <w:t>Хибины Н212-МА;</w:t>
      </w:r>
    </w:p>
    <w:p>
      <w:pPr>
        <w:pStyle w:val="Style15"/>
        <w:keepNext w:val="0"/>
        <w:keepLines w:val="0"/>
        <w:widowControl w:val="0"/>
        <w:numPr>
          <w:ilvl w:val="0"/>
          <w:numId w:val="5"/>
        </w:numPr>
        <w:shd w:val="clear" w:color="auto" w:fill="auto"/>
        <w:tabs>
          <w:tab w:pos="1085" w:val="left"/>
        </w:tabs>
        <w:bidi w:val="0"/>
        <w:spacing w:before="0" w:after="0" w:line="240" w:lineRule="auto"/>
        <w:ind w:left="0" w:right="0" w:firstLine="720"/>
        <w:jc w:val="both"/>
      </w:pPr>
      <w:r>
        <w:rPr>
          <w:rStyle w:val="CharStyle16"/>
        </w:rPr>
        <w:t xml:space="preserve">Сервер </w:t>
      </w:r>
      <w:r>
        <w:rPr>
          <w:rStyle w:val="CharStyle16"/>
          <w:lang w:val="en-US" w:eastAsia="en-US"/>
        </w:rPr>
        <w:t>Kraftway TS5310;</w:t>
      </w:r>
    </w:p>
    <w:p>
      <w:pPr>
        <w:pStyle w:val="Style15"/>
        <w:keepNext w:val="0"/>
        <w:keepLines w:val="0"/>
        <w:widowControl w:val="0"/>
        <w:numPr>
          <w:ilvl w:val="0"/>
          <w:numId w:val="5"/>
        </w:numPr>
        <w:shd w:val="clear" w:color="auto" w:fill="auto"/>
        <w:tabs>
          <w:tab w:pos="1090" w:val="left"/>
        </w:tabs>
        <w:bidi w:val="0"/>
        <w:spacing w:before="0" w:after="0" w:line="240" w:lineRule="auto"/>
        <w:ind w:left="0" w:right="0" w:firstLine="720"/>
        <w:jc w:val="both"/>
      </w:pPr>
      <w:r>
        <w:rPr>
          <w:rStyle w:val="CharStyle16"/>
        </w:rPr>
        <w:t xml:space="preserve">Сервер </w:t>
      </w:r>
      <w:r>
        <w:rPr>
          <w:rStyle w:val="CharStyle16"/>
          <w:lang w:val="en-US" w:eastAsia="en-US"/>
        </w:rPr>
        <w:t xml:space="preserve">OpenYard RS, </w:t>
      </w:r>
      <w:r>
        <w:rPr>
          <w:rStyle w:val="CharStyle16"/>
        </w:rPr>
        <w:t xml:space="preserve">модель </w:t>
      </w:r>
      <w:r>
        <w:rPr>
          <w:rStyle w:val="CharStyle16"/>
          <w:lang w:val="en-US" w:eastAsia="en-US"/>
        </w:rPr>
        <w:t>RS1021-45C;</w:t>
      </w:r>
    </w:p>
    <w:p>
      <w:pPr>
        <w:pStyle w:val="Style15"/>
        <w:keepNext w:val="0"/>
        <w:keepLines w:val="0"/>
        <w:widowControl w:val="0"/>
        <w:numPr>
          <w:ilvl w:val="0"/>
          <w:numId w:val="5"/>
        </w:numPr>
        <w:shd w:val="clear" w:color="auto" w:fill="auto"/>
        <w:tabs>
          <w:tab w:pos="1100" w:val="left"/>
        </w:tabs>
        <w:bidi w:val="0"/>
        <w:spacing w:before="0" w:after="0" w:line="240" w:lineRule="auto"/>
        <w:ind w:left="0" w:right="0" w:firstLine="740"/>
        <w:jc w:val="both"/>
      </w:pPr>
      <w:r>
        <w:rPr>
          <w:rStyle w:val="CharStyle16"/>
        </w:rPr>
        <w:t xml:space="preserve">Сервер </w:t>
      </w:r>
      <w:r>
        <w:rPr>
          <w:rStyle w:val="CharStyle16"/>
          <w:lang w:val="en-US" w:eastAsia="en-US"/>
        </w:rPr>
        <w:t>DEPO Storm 3500A1R;</w:t>
      </w:r>
    </w:p>
    <w:p>
      <w:pPr>
        <w:pStyle w:val="Style15"/>
        <w:keepNext w:val="0"/>
        <w:keepLines w:val="0"/>
        <w:widowControl w:val="0"/>
        <w:numPr>
          <w:ilvl w:val="0"/>
          <w:numId w:val="5"/>
        </w:numPr>
        <w:shd w:val="clear" w:color="auto" w:fill="auto"/>
        <w:tabs>
          <w:tab w:pos="1105" w:val="left"/>
        </w:tabs>
        <w:bidi w:val="0"/>
        <w:spacing w:before="0" w:after="0" w:line="240" w:lineRule="auto"/>
        <w:ind w:left="0" w:right="0" w:firstLine="740"/>
        <w:jc w:val="both"/>
      </w:pPr>
      <w:r>
        <w:rPr>
          <w:rStyle w:val="CharStyle16"/>
        </w:rPr>
        <w:t>Сервер Гравитон С2122ИУ.</w:t>
      </w:r>
    </w:p>
    <w:p>
      <w:pPr>
        <w:pStyle w:val="Style15"/>
        <w:keepNext w:val="0"/>
        <w:keepLines w:val="0"/>
        <w:widowControl w:val="0"/>
        <w:shd w:val="clear" w:color="auto" w:fill="auto"/>
        <w:bidi w:val="0"/>
        <w:spacing w:before="0" w:after="0" w:line="240" w:lineRule="auto"/>
        <w:ind w:left="0" w:right="0" w:firstLine="740"/>
        <w:jc w:val="both"/>
      </w:pPr>
      <w:r>
        <w:rPr>
          <w:rStyle w:val="CharStyle16"/>
        </w:rPr>
        <w:t>Проанализировав материалы дел, сформированные из представленных сторонами сведений и документов, Комиссия Управления приходит к выводу о необоснованности доводов Заявителя ввиду следующего.</w:t>
      </w:r>
    </w:p>
    <w:p>
      <w:pPr>
        <w:pStyle w:val="Style15"/>
        <w:keepNext w:val="0"/>
        <w:keepLines w:val="0"/>
        <w:widowControl w:val="0"/>
        <w:shd w:val="clear" w:color="auto" w:fill="auto"/>
        <w:bidi w:val="0"/>
        <w:spacing w:before="0" w:after="0" w:line="240" w:lineRule="auto"/>
        <w:ind w:left="0" w:right="0" w:firstLine="740"/>
        <w:jc w:val="both"/>
      </w:pPr>
      <w:r>
        <w:rPr>
          <w:rStyle w:val="CharStyle16"/>
        </w:rPr>
        <w:t xml:space="preserve">Соответствие оборудования </w:t>
      </w:r>
      <w:r>
        <w:rPr>
          <w:rStyle w:val="CharStyle16"/>
          <w:lang w:val="en-US" w:eastAsia="en-US"/>
        </w:rPr>
        <w:t xml:space="preserve">- </w:t>
      </w:r>
      <w:r>
        <w:rPr>
          <w:rStyle w:val="CharStyle16"/>
        </w:rPr>
        <w:t xml:space="preserve">сервер </w:t>
      </w:r>
      <w:r>
        <w:rPr>
          <w:rStyle w:val="CharStyle16"/>
          <w:lang w:val="en-US" w:eastAsia="en-US"/>
        </w:rPr>
        <w:t xml:space="preserve">DEPO Storm 3500A1R </w:t>
      </w:r>
      <w:r>
        <w:rPr>
          <w:rStyle w:val="CharStyle16"/>
        </w:rPr>
        <w:t>описанию объекта закупки Заказчика подтверждается документами и доказательствами, представленными как Заказчиком, так Заявителем.</w:t>
      </w:r>
    </w:p>
    <w:p>
      <w:pPr>
        <w:pStyle w:val="Style15"/>
        <w:keepNext w:val="0"/>
        <w:keepLines w:val="0"/>
        <w:widowControl w:val="0"/>
        <w:shd w:val="clear" w:color="auto" w:fill="auto"/>
        <w:bidi w:val="0"/>
        <w:spacing w:before="0" w:after="0" w:line="240" w:lineRule="auto"/>
        <w:ind w:left="0" w:right="0" w:firstLine="740"/>
        <w:jc w:val="both"/>
      </w:pPr>
      <w:r>
        <w:rPr>
          <w:rStyle w:val="CharStyle16"/>
        </w:rPr>
        <w:t>Относительно наличия на соответствующем товарном рынке модели оборудования иного (второго) производителя, Комиссией установлено следующее.</w:t>
      </w:r>
    </w:p>
    <w:p>
      <w:pPr>
        <w:pStyle w:val="Style15"/>
        <w:keepNext w:val="0"/>
        <w:keepLines w:val="0"/>
        <w:widowControl w:val="0"/>
        <w:shd w:val="clear" w:color="auto" w:fill="auto"/>
        <w:bidi w:val="0"/>
        <w:spacing w:before="0" w:after="0" w:line="240" w:lineRule="auto"/>
        <w:ind w:left="0" w:right="0" w:firstLine="740"/>
        <w:jc w:val="both"/>
      </w:pPr>
      <w:r>
        <w:rPr>
          <w:rStyle w:val="CharStyle16"/>
        </w:rPr>
        <w:t>В подтверждение своих доводов Заявителем, представлены сведения с сайтов производителей оборудования, а также даны пояснения об отсутствии спорных характеристик в Каталоге промышленной продукции.</w:t>
      </w:r>
    </w:p>
    <w:p>
      <w:pPr>
        <w:pStyle w:val="Style15"/>
        <w:keepNext w:val="0"/>
        <w:keepLines w:val="0"/>
        <w:widowControl w:val="0"/>
        <w:shd w:val="clear" w:color="auto" w:fill="auto"/>
        <w:bidi w:val="0"/>
        <w:spacing w:before="0" w:after="0" w:line="240" w:lineRule="auto"/>
        <w:ind w:left="0" w:right="0" w:firstLine="740"/>
        <w:jc w:val="both"/>
      </w:pPr>
      <w:r>
        <w:rPr>
          <w:rStyle w:val="CharStyle16"/>
        </w:rPr>
        <w:t xml:space="preserve">Комиссия Управления отмечает, что данные, указанные на сайтах поставщиков не всегда являются корректными, поскольку информация распространяемая в рекламных и маркетинговых целях рекламные буклеты, веб-сайт, СМИ и подобные </w:t>
      </w:r>
      <w:r>
        <w:rPr>
          <w:rStyle w:val="CharStyle16"/>
          <w:lang w:val="en-US" w:eastAsia="en-US"/>
        </w:rPr>
        <w:t xml:space="preserve">- </w:t>
      </w:r>
      <w:r>
        <w:rPr>
          <w:rStyle w:val="CharStyle16"/>
        </w:rPr>
        <w:t>носит общий информационно-ознакомительный характер и не может ограничивать технические параметры продукции производителя оборудования, кроме того производители, поставщики оборудования не обязаны опубликовывать информацию о всех модификациях всего производимого оборудования, ввиду чего сведения с веб</w:t>
        <w:softHyphen/>
        <w:t>сайта поставщика товара, не подтвержденные иными документами, априори не могут считаться исчерпывающими.</w:t>
      </w:r>
    </w:p>
    <w:p>
      <w:pPr>
        <w:pStyle w:val="Style15"/>
        <w:keepNext w:val="0"/>
        <w:keepLines w:val="0"/>
        <w:widowControl w:val="0"/>
        <w:shd w:val="clear" w:color="auto" w:fill="auto"/>
        <w:bidi w:val="0"/>
        <w:spacing w:before="0" w:after="0" w:line="240" w:lineRule="auto"/>
        <w:ind w:left="0" w:right="0" w:firstLine="740"/>
        <w:jc w:val="both"/>
      </w:pPr>
      <w:r>
        <w:rPr>
          <w:rStyle w:val="CharStyle16"/>
        </w:rPr>
        <w:t xml:space="preserve">Также Комиссия Управления Комиссия Управления отмечает, что, в соответствии с письмом Минпромторга </w:t>
      </w:r>
      <w:r>
        <w:rPr>
          <w:rStyle w:val="CharStyle16"/>
          <w:lang w:val="en-US" w:eastAsia="en-US"/>
        </w:rPr>
        <w:t xml:space="preserve">№ 106238/12 </w:t>
      </w:r>
      <w:r>
        <w:rPr>
          <w:rStyle w:val="CharStyle16"/>
        </w:rPr>
        <w:t xml:space="preserve">от </w:t>
      </w:r>
      <w:r>
        <w:rPr>
          <w:rStyle w:val="CharStyle16"/>
          <w:lang w:val="en-US" w:eastAsia="en-US"/>
        </w:rPr>
        <w:t xml:space="preserve">04.10.2023, </w:t>
      </w:r>
      <w:r>
        <w:rPr>
          <w:rStyle w:val="CharStyle16"/>
        </w:rPr>
        <w:t xml:space="preserve">каталог государственной информационной системы промышленности </w:t>
      </w:r>
      <w:r>
        <w:rPr>
          <w:rStyle w:val="CharStyle16"/>
          <w:lang w:val="en-US" w:eastAsia="en-US"/>
        </w:rPr>
        <w:t>(</w:t>
      </w:r>
      <w:r>
        <w:fldChar w:fldCharType="begin"/>
      </w:r>
      <w:r>
        <w:rPr/>
        <w:instrText> HYPERLINK "https://gisp.gov.ru" </w:instrText>
      </w:r>
      <w:r>
        <w:fldChar w:fldCharType="separate"/>
      </w:r>
      <w:r>
        <w:rPr>
          <w:rStyle w:val="CharStyle16"/>
          <w:lang w:val="en-US" w:eastAsia="en-US"/>
        </w:rPr>
        <w:t>https://gisp.gov.ru</w:t>
      </w:r>
      <w:r>
        <w:fldChar w:fldCharType="end"/>
      </w:r>
      <w:r>
        <w:rPr>
          <w:rStyle w:val="CharStyle16"/>
          <w:lang w:val="en-US" w:eastAsia="en-US"/>
        </w:rPr>
        <w:t xml:space="preserve">) </w:t>
      </w:r>
      <w:r>
        <w:rPr>
          <w:rStyle w:val="CharStyle16"/>
        </w:rPr>
        <w:t xml:space="preserve">может содержать информацию отличную от той, которая была внесена в Реестр, и носить ознакомительный характер, в связи с чем сведения из каталога государственной информационной системы промышленности (далее </w:t>
      </w:r>
      <w:r>
        <w:rPr>
          <w:rStyle w:val="CharStyle16"/>
          <w:lang w:val="en-US" w:eastAsia="en-US"/>
        </w:rPr>
        <w:t xml:space="preserve">- </w:t>
      </w:r>
      <w:r>
        <w:rPr>
          <w:rStyle w:val="CharStyle16"/>
        </w:rPr>
        <w:t>Каталог) также не могут являться основанием отклонения заявки участника закупки на основании предоставления недостоверных сведений об изделии.</w:t>
      </w:r>
    </w:p>
    <w:p>
      <w:pPr>
        <w:pStyle w:val="Style15"/>
        <w:keepNext w:val="0"/>
        <w:keepLines w:val="0"/>
        <w:widowControl w:val="0"/>
        <w:shd w:val="clear" w:color="auto" w:fill="auto"/>
        <w:bidi w:val="0"/>
        <w:spacing w:before="0" w:after="0" w:line="240" w:lineRule="auto"/>
        <w:ind w:left="0" w:right="0" w:firstLine="740"/>
        <w:jc w:val="both"/>
      </w:pPr>
      <w:r>
        <w:rPr>
          <w:rStyle w:val="CharStyle16"/>
        </w:rPr>
        <w:t xml:space="preserve">Вместе с тем, Комиссия отмечает, что в Каталоге в указано, что сервер </w:t>
      </w:r>
      <w:r>
        <w:rPr>
          <w:rStyle w:val="CharStyle16"/>
          <w:lang w:val="en-US" w:eastAsia="en-US"/>
        </w:rPr>
        <w:t xml:space="preserve">Kraftway TS5310 </w:t>
      </w:r>
      <w:r>
        <w:rPr>
          <w:rStyle w:val="CharStyle16"/>
        </w:rPr>
        <w:t xml:space="preserve">КРПЕ.466535.146 имеет дополнительную характеристику </w:t>
      </w:r>
      <w:r>
        <w:rPr>
          <w:rStyle w:val="CharStyle16"/>
          <w:lang w:val="en-US" w:eastAsia="en-US"/>
        </w:rPr>
        <w:t xml:space="preserve">- </w:t>
      </w:r>
      <w:r>
        <w:rPr>
          <w:rStyle w:val="CharStyle16"/>
        </w:rPr>
        <w:t>Форм</w:t>
        <w:softHyphen/>
        <w:t xml:space="preserve">фактор </w:t>
      </w:r>
      <w:r>
        <w:rPr>
          <w:rStyle w:val="CharStyle16"/>
          <w:lang w:val="en-US" w:eastAsia="en-US"/>
        </w:rPr>
        <w:t>- 1U.</w:t>
      </w:r>
    </w:p>
    <w:p>
      <w:pPr>
        <w:pStyle w:val="Style15"/>
        <w:keepNext w:val="0"/>
        <w:keepLines w:val="0"/>
        <w:widowControl w:val="0"/>
        <w:shd w:val="clear" w:color="auto" w:fill="auto"/>
        <w:bidi w:val="0"/>
        <w:spacing w:before="0" w:after="0" w:line="240" w:lineRule="auto"/>
        <w:ind w:left="0" w:right="0" w:firstLine="740"/>
        <w:jc w:val="both"/>
      </w:pPr>
      <w:r>
        <w:rPr>
          <w:rStyle w:val="CharStyle16"/>
        </w:rPr>
        <w:t xml:space="preserve">Из материалов дела следует, что участником закупки с целью подготовки заявки для принятия участия в рассматриваемой закупке были запрошены ценовые предложения и характеристики оборудования различных производителей, в том числе </w:t>
      </w:r>
      <w:r>
        <w:rPr>
          <w:rStyle w:val="CharStyle16"/>
          <w:lang w:val="en-US" w:eastAsia="en-US"/>
        </w:rPr>
        <w:t>Kraftway.</w:t>
      </w:r>
    </w:p>
    <w:p>
      <w:pPr>
        <w:pStyle w:val="Style15"/>
        <w:keepNext w:val="0"/>
        <w:keepLines w:val="0"/>
        <w:widowControl w:val="0"/>
        <w:shd w:val="clear" w:color="auto" w:fill="auto"/>
        <w:bidi w:val="0"/>
        <w:spacing w:before="0" w:after="0" w:line="240" w:lineRule="auto"/>
        <w:ind w:left="0" w:right="0" w:firstLine="740"/>
        <w:jc w:val="both"/>
      </w:pPr>
      <w:r>
        <w:rPr>
          <w:rStyle w:val="CharStyle16"/>
        </w:rPr>
        <w:t xml:space="preserve">К ценовому предложению АО «Крафтвэй корпорэйшн ПЛС» представлены основные характеристики сервера </w:t>
      </w:r>
      <w:r>
        <w:rPr>
          <w:rStyle w:val="CharStyle16"/>
          <w:lang w:val="en-US" w:eastAsia="en-US"/>
        </w:rPr>
        <w:t xml:space="preserve">Kraftway, </w:t>
      </w:r>
      <w:r>
        <w:rPr>
          <w:rStyle w:val="CharStyle16"/>
        </w:rPr>
        <w:t xml:space="preserve">где прописано количество занимаемых юнитов в стойке </w:t>
      </w:r>
      <w:r>
        <w:rPr>
          <w:rStyle w:val="CharStyle16"/>
          <w:lang w:val="en-US" w:eastAsia="en-US"/>
        </w:rPr>
        <w:t xml:space="preserve">– 1, </w:t>
      </w:r>
      <w:r>
        <w:rPr>
          <w:rStyle w:val="CharStyle16"/>
        </w:rPr>
        <w:t xml:space="preserve">а количество слотов для установки плат расширения </w:t>
      </w:r>
      <w:r>
        <w:rPr>
          <w:rStyle w:val="CharStyle16"/>
          <w:lang w:val="en-US" w:eastAsia="en-US"/>
        </w:rPr>
        <w:t>PCIe x16 – 5.</w:t>
      </w:r>
    </w:p>
    <w:p>
      <w:pPr>
        <w:pStyle w:val="Style15"/>
        <w:keepNext w:val="0"/>
        <w:keepLines w:val="0"/>
        <w:widowControl w:val="0"/>
        <w:shd w:val="clear" w:color="auto" w:fill="auto"/>
        <w:bidi w:val="0"/>
        <w:spacing w:before="0" w:after="0" w:line="240" w:lineRule="auto"/>
        <w:ind w:left="0" w:right="0" w:firstLine="740"/>
        <w:jc w:val="both"/>
      </w:pPr>
      <w:r>
        <w:rPr>
          <w:rStyle w:val="CharStyle16"/>
        </w:rPr>
        <w:t xml:space="preserve">Объективных доказательств, того, что указанный сервер не соответствует описанию объекта закупки (извещение </w:t>
      </w:r>
      <w:r>
        <w:rPr>
          <w:rStyle w:val="CharStyle16"/>
          <w:lang w:val="en-US" w:eastAsia="en-US"/>
        </w:rPr>
        <w:t xml:space="preserve">№ 0243100002425000029) </w:t>
      </w:r>
      <w:r>
        <w:rPr>
          <w:rStyle w:val="CharStyle16"/>
        </w:rPr>
        <w:t>Заявителем не представлено.</w:t>
      </w:r>
    </w:p>
    <w:p>
      <w:pPr>
        <w:pStyle w:val="Style15"/>
        <w:keepNext w:val="0"/>
        <w:keepLines w:val="0"/>
        <w:widowControl w:val="0"/>
        <w:shd w:val="clear" w:color="auto" w:fill="auto"/>
        <w:bidi w:val="0"/>
        <w:spacing w:before="0" w:after="0" w:line="240" w:lineRule="auto"/>
        <w:ind w:left="0" w:right="0" w:firstLine="720"/>
        <w:jc w:val="both"/>
      </w:pPr>
      <w:r>
        <w:rPr>
          <w:rStyle w:val="CharStyle16"/>
        </w:rPr>
        <w:t>Следовательно, бесспорные доказательства, того обстоятельства, что под описание товара, планируемого к поставке, подпадает товар единственного производителя в материалах дела отсутствуют.</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Относительно оспариваемой Заявителем потребности Заказчика именно в такой совокупности характеристик в том числе с в части того, что сервер должен занимать только </w:t>
      </w:r>
      <w:r>
        <w:rPr>
          <w:rStyle w:val="CharStyle16"/>
          <w:lang w:val="en-US" w:eastAsia="en-US"/>
        </w:rPr>
        <w:t xml:space="preserve">1 </w:t>
      </w:r>
      <w:r>
        <w:rPr>
          <w:rStyle w:val="CharStyle16"/>
        </w:rPr>
        <w:t>юнит в стойке, представителем Заказчика представлены доказательства, что такое значение этой характеристики обусловлено необходимость размещения в единственной стойке, находящейся в серверном помещении ТФ ОМС Курганской области большого количества взаимодействующего оборудования (серверы, ИБП, иных устройств).</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Относительно дополнительного довода Заявителя о том, что Заказчик устанавливает требование к предустановленному ПО </w:t>
      </w:r>
      <w:r>
        <w:rPr>
          <w:rStyle w:val="CharStyle16"/>
          <w:lang w:val="en-US" w:eastAsia="en-US"/>
        </w:rPr>
        <w:t xml:space="preserve">- </w:t>
      </w:r>
      <w:r>
        <w:rPr>
          <w:rStyle w:val="CharStyle16"/>
        </w:rPr>
        <w:t xml:space="preserve">Уведомление пользователей о статусе оборудования, информации о сбоях, информации о изменении конфигурации устройств с помощью электронной почты и/или </w:t>
      </w:r>
      <w:r>
        <w:rPr>
          <w:rStyle w:val="CharStyle16"/>
          <w:lang w:val="en-US" w:eastAsia="en-US"/>
        </w:rPr>
        <w:t xml:space="preserve">Telegram, </w:t>
      </w:r>
      <w:r>
        <w:rPr>
          <w:rStyle w:val="CharStyle16"/>
        </w:rPr>
        <w:t>которое по его мнению, является избыточным, и ограничивающим число участников закупки, Комиссия в ходе рассмотрения установила следующее.</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Представителем Заказчика оны пояснения, а также представлены доказательства, что наличие такой характеристики является потребностью ТФ ОМС Курганской области для возможности круглосуточного контроля работы оборудования в целях исполнения, возложенных на Заказчика обязанностей в соответствии с Методическими рекомендациями, Федерального фонда обязательного медицинского страхования (письмо от </w:t>
      </w:r>
      <w:r>
        <w:rPr>
          <w:rStyle w:val="CharStyle16"/>
          <w:lang w:val="en-US" w:eastAsia="en-US"/>
        </w:rPr>
        <w:t>26.02.2021 № 00-10-30</w:t>
        <w:softHyphen/>
        <w:t>04/1101).</w:t>
      </w:r>
    </w:p>
    <w:p>
      <w:pPr>
        <w:pStyle w:val="Style15"/>
        <w:keepNext w:val="0"/>
        <w:keepLines w:val="0"/>
        <w:widowControl w:val="0"/>
        <w:shd w:val="clear" w:color="auto" w:fill="auto"/>
        <w:bidi w:val="0"/>
        <w:spacing w:before="0" w:after="0" w:line="240" w:lineRule="auto"/>
        <w:ind w:left="0" w:right="0" w:firstLine="720"/>
        <w:jc w:val="both"/>
      </w:pPr>
      <w:r>
        <w:rPr>
          <w:rStyle w:val="CharStyle16"/>
        </w:rPr>
        <w:t>В данных рекомендациях указано, что Федеральный фонд обязательного медицинского страхования с целью обеспечения единообразия реализации обязательного медицинского страхования в части информационного сопровождения застрахованных лиц обеспечивает порядок взаимодействия участников при оказании застрахованным лицам услуг справочно-консультационного характера, обращения граждан поступают на телефонный номер контакт-центра («Горячая линия») территориального фонда или страховой медицинской организации, работающих круглосуточно с обязательной аудиозаписью входящих и исходящих звонков:</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в режиме работы оператора с </w:t>
      </w:r>
      <w:r>
        <w:rPr>
          <w:rStyle w:val="CharStyle16"/>
          <w:lang w:val="en-US" w:eastAsia="en-US"/>
        </w:rPr>
        <w:t xml:space="preserve">9-00 </w:t>
      </w:r>
      <w:r>
        <w:rPr>
          <w:rStyle w:val="CharStyle16"/>
        </w:rPr>
        <w:t xml:space="preserve">до </w:t>
      </w:r>
      <w:r>
        <w:rPr>
          <w:rStyle w:val="CharStyle16"/>
          <w:lang w:val="en-US" w:eastAsia="en-US"/>
        </w:rPr>
        <w:t xml:space="preserve">18-00 </w:t>
      </w:r>
      <w:r>
        <w:rPr>
          <w:rStyle w:val="CharStyle16"/>
        </w:rPr>
        <w:t>по рабочим дням;</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в режиме электронного секретаря с </w:t>
      </w:r>
      <w:r>
        <w:rPr>
          <w:rStyle w:val="CharStyle16"/>
          <w:lang w:val="en-US" w:eastAsia="en-US"/>
        </w:rPr>
        <w:t xml:space="preserve">18-00 </w:t>
      </w:r>
      <w:r>
        <w:rPr>
          <w:rStyle w:val="CharStyle16"/>
        </w:rPr>
        <w:t xml:space="preserve">до </w:t>
      </w:r>
      <w:r>
        <w:rPr>
          <w:rStyle w:val="CharStyle16"/>
          <w:lang w:val="en-US" w:eastAsia="en-US"/>
        </w:rPr>
        <w:t xml:space="preserve">9-00 </w:t>
      </w:r>
      <w:r>
        <w:rPr>
          <w:rStyle w:val="CharStyle16"/>
        </w:rPr>
        <w:t xml:space="preserve">по рабочим, в выходные и праздничные дни </w:t>
      </w:r>
      <w:r>
        <w:rPr>
          <w:rStyle w:val="CharStyle16"/>
          <w:lang w:val="en-US" w:eastAsia="en-US"/>
        </w:rPr>
        <w:t xml:space="preserve">- </w:t>
      </w:r>
      <w:r>
        <w:rPr>
          <w:rStyle w:val="CharStyle16"/>
        </w:rPr>
        <w:t>круглосуточно.</w:t>
      </w:r>
    </w:p>
    <w:p>
      <w:pPr>
        <w:pStyle w:val="Style15"/>
        <w:keepNext w:val="0"/>
        <w:keepLines w:val="0"/>
        <w:widowControl w:val="0"/>
        <w:shd w:val="clear" w:color="auto" w:fill="auto"/>
        <w:bidi w:val="0"/>
        <w:spacing w:before="0" w:after="0" w:line="240" w:lineRule="auto"/>
        <w:ind w:left="0" w:right="0" w:firstLine="720"/>
        <w:jc w:val="both"/>
      </w:pPr>
      <w:r>
        <w:rPr>
          <w:rStyle w:val="CharStyle16"/>
        </w:rPr>
        <w:t>Кроме того, Комиссия контрольного органа в сфере закупок отмечает, что включение в описание объекта закупки условий, которые в итоге приводят к исключению из круга участников размещения заказа лиц, не отвечающих таким целям, не может рассматриваться как ограничение доступа к участию в торгах.</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Заказчику предоставлено право на установление в описании объекта закупки условий требований к качеству, техническим и функциональным характеристикам товара, которые соответствуют его потребностям, при этом сам по себе факт установления определенных характеристик к товару не свидетельствует об ограничении количества участников размещения заказа (определение Верховного Суда РФ от </w:t>
      </w:r>
      <w:r>
        <w:rPr>
          <w:rStyle w:val="CharStyle16"/>
          <w:lang w:val="en-US" w:eastAsia="en-US"/>
        </w:rPr>
        <w:t xml:space="preserve">30.10. 2014 № </w:t>
      </w:r>
      <w:r>
        <w:rPr>
          <w:rStyle w:val="CharStyle16"/>
        </w:rPr>
        <w:t xml:space="preserve">304-КГ14-3003 по делу </w:t>
      </w:r>
      <w:r>
        <w:rPr>
          <w:rStyle w:val="CharStyle16"/>
          <w:lang w:val="en-US" w:eastAsia="en-US"/>
        </w:rPr>
        <w:t xml:space="preserve">№ </w:t>
      </w:r>
      <w:r>
        <w:rPr>
          <w:rStyle w:val="CharStyle16"/>
        </w:rPr>
        <w:t>А45-12358/2013).</w:t>
      </w:r>
      <w:r>
        <w:br w:type="page"/>
      </w:r>
    </w:p>
    <w:p>
      <w:pPr>
        <w:pStyle w:val="Style15"/>
        <w:keepNext w:val="0"/>
        <w:keepLines w:val="0"/>
        <w:widowControl w:val="0"/>
        <w:shd w:val="clear" w:color="auto" w:fill="auto"/>
        <w:bidi w:val="0"/>
        <w:spacing w:before="0" w:after="0" w:line="240" w:lineRule="auto"/>
        <w:ind w:left="0" w:right="0" w:firstLine="720"/>
        <w:jc w:val="both"/>
      </w:pPr>
      <w:r>
        <w:rPr>
          <w:rStyle w:val="CharStyle16"/>
        </w:rPr>
        <w:t>Следовательно, довод Заявителя является необоснованным.</w:t>
      </w:r>
    </w:p>
    <w:p>
      <w:pPr>
        <w:pStyle w:val="Style15"/>
        <w:keepNext w:val="0"/>
        <w:keepLines w:val="0"/>
        <w:widowControl w:val="0"/>
        <w:shd w:val="clear" w:color="auto" w:fill="auto"/>
        <w:bidi w:val="0"/>
        <w:spacing w:before="0" w:after="280" w:line="240" w:lineRule="auto"/>
        <w:ind w:left="0" w:right="0" w:firstLine="720"/>
        <w:jc w:val="both"/>
      </w:pPr>
      <w:r>
        <w:rPr>
          <w:rStyle w:val="CharStyle16"/>
        </w:rPr>
        <w:t xml:space="preserve">На основании вышеизложенного, руководствуясь статьями </w:t>
      </w:r>
      <w:r>
        <w:rPr>
          <w:rStyle w:val="CharStyle16"/>
          <w:lang w:val="en-US" w:eastAsia="en-US"/>
        </w:rPr>
        <w:t xml:space="preserve">99, 105, 106 </w:t>
      </w:r>
      <w:r>
        <w:rPr>
          <w:rStyle w:val="CharStyle16"/>
        </w:rPr>
        <w:t xml:space="preserve">Федерального закона от </w:t>
      </w:r>
      <w:r>
        <w:rPr>
          <w:rStyle w:val="CharStyle16"/>
          <w:lang w:val="en-US" w:eastAsia="en-US"/>
        </w:rPr>
        <w:t xml:space="preserve">05.04.2013 № </w:t>
      </w:r>
      <w:r>
        <w:rPr>
          <w:rStyle w:val="CharStyle16"/>
        </w:rPr>
        <w:t>44-ФЗ «О контрактной системе в сфере закупок товаров, работ, услуг для обеспечения государственных и муниципальных нужд»,</w:t>
      </w:r>
    </w:p>
    <w:p>
      <w:pPr>
        <w:pStyle w:val="Style15"/>
        <w:keepNext w:val="0"/>
        <w:keepLines w:val="0"/>
        <w:widowControl w:val="0"/>
        <w:shd w:val="clear" w:color="auto" w:fill="auto"/>
        <w:bidi w:val="0"/>
        <w:spacing w:before="0" w:after="280" w:line="240" w:lineRule="auto"/>
        <w:ind w:left="0" w:right="0" w:firstLine="0"/>
        <w:jc w:val="center"/>
      </w:pPr>
      <w:r>
        <w:rPr>
          <w:rStyle w:val="CharStyle16"/>
          <w:b/>
          <w:bCs/>
        </w:rPr>
        <w:t>РЕШИЛА:</w:t>
      </w:r>
    </w:p>
    <w:p>
      <w:pPr>
        <w:pStyle w:val="Style15"/>
        <w:keepNext w:val="0"/>
        <w:keepLines w:val="0"/>
        <w:widowControl w:val="0"/>
        <w:shd w:val="clear" w:color="auto" w:fill="auto"/>
        <w:bidi w:val="0"/>
        <w:spacing w:before="0" w:after="280" w:line="240" w:lineRule="auto"/>
        <w:ind w:left="0" w:right="0" w:firstLine="720"/>
        <w:jc w:val="both"/>
      </w:pPr>
      <w:r>
        <w:rPr>
          <w:rStyle w:val="CharStyle16"/>
        </w:rPr>
        <w:t>Признать жалобу индивидуального предпринимателя Якуниной Натальи Юрьевны необоснованной.</w:t>
      </w:r>
    </w:p>
    <w:p>
      <w:pPr>
        <w:pStyle w:val="Style20"/>
        <w:keepNext w:val="0"/>
        <w:keepLines w:val="0"/>
        <w:widowControl w:val="0"/>
        <w:shd w:val="clear" w:color="auto" w:fill="auto"/>
        <w:bidi w:val="0"/>
        <w:spacing w:before="0" w:after="0" w:line="240" w:lineRule="auto"/>
        <w:ind w:left="0" w:right="0"/>
        <w:jc w:val="both"/>
      </w:pPr>
      <w:r>
        <w:rPr>
          <w:rStyle w:val="CharStyle21"/>
          <w:i/>
          <w:iCs/>
        </w:rPr>
        <w:t xml:space="preserve">Решение может быть обжаловано в арбитражный суд в течение трех месяцев, с даты его принятия в порядке, установленном главой </w:t>
      </w:r>
      <w:r>
        <w:rPr>
          <w:rStyle w:val="CharStyle21"/>
          <w:i/>
          <w:iCs/>
          <w:lang w:val="en-US" w:eastAsia="en-US"/>
        </w:rPr>
        <w:t xml:space="preserve">24 </w:t>
      </w:r>
      <w:r>
        <w:rPr>
          <w:rStyle w:val="CharStyle21"/>
          <w:i/>
          <w:iCs/>
        </w:rPr>
        <w:t>АПК РФ.</w:t>
      </w:r>
    </w:p>
    <w:p>
      <w:pPr>
        <w:widowControl w:val="0"/>
        <w:spacing w:line="1" w:lineRule="exact"/>
        <w:sectPr>
          <w:footnotePr>
            <w:pos w:val="pageBottom"/>
            <w:numFmt w:val="decimal"/>
            <w:numRestart w:val="continuous"/>
          </w:footnotePr>
          <w:type w:val="continuous"/>
          <w:pgSz w:w="11900" w:h="16840"/>
          <w:pgMar w:top="279" w:right="539" w:bottom="1212" w:left="1099" w:header="0" w:footer="3" w:gutter="0"/>
          <w:cols w:space="720"/>
          <w:noEndnote/>
          <w:rtlGutter w:val="0"/>
          <w:docGrid w:linePitch="360"/>
        </w:sectPr>
      </w:pPr>
      <w:r>
        <mc:AlternateContent>
          <mc:Choice Requires="wps">
            <w:drawing>
              <wp:anchor distT="304800" distB="396240" distL="0" distR="0" simplePos="0" relativeHeight="125829380" behindDoc="0" locked="0" layoutInCell="1" allowOverlap="1">
                <wp:simplePos x="0" y="0"/>
                <wp:positionH relativeFrom="page">
                  <wp:posOffset>740410</wp:posOffset>
                </wp:positionH>
                <wp:positionV relativeFrom="paragraph">
                  <wp:posOffset>304800</wp:posOffset>
                </wp:positionV>
                <wp:extent cx="2837815" cy="243840"/>
                <wp:wrapTopAndBottom/>
                <wp:docPr id="9" name="Shape 9"/>
                <a:graphic xmlns:a="http://schemas.openxmlformats.org/drawingml/2006/main">
                  <a:graphicData uri="http://schemas.microsoft.com/office/word/2010/wordprocessingShape">
                    <wps:wsp>
                      <wps:cNvSpPr txBox="1"/>
                      <wps:spPr>
                        <a:xfrm>
                          <a:ext cx="2837815" cy="24384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Заместитель Председателя Комиссии</w:t>
                            </w:r>
                          </w:p>
                        </w:txbxContent>
                      </wps:txbx>
                      <wps:bodyPr wrap="none" lIns="0" tIns="0" rIns="0" bIns="0">
                        <a:noAutoFit/>
                      </wps:bodyPr>
                    </wps:wsp>
                  </a:graphicData>
                </a:graphic>
              </wp:anchor>
            </w:drawing>
          </mc:Choice>
          <mc:Fallback>
            <w:pict>
              <v:shape id="_x0000_s1035" type="#_x0000_t202" style="position:absolute;margin-left:58.300000000000004pt;margin-top:24.pt;width:223.45000000000002pt;height:19.199999999999999pt;z-index:-125829373;mso-wrap-distance-left:0;mso-wrap-distance-top:24.pt;mso-wrap-distance-right:0;mso-wrap-distance-bottom:31.199999999999999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Заместитель Председателя Комиссии</w:t>
                      </w:r>
                    </w:p>
                  </w:txbxContent>
                </v:textbox>
                <w10:wrap type="topAndBottom" anchorx="page"/>
              </v:shape>
            </w:pict>
          </mc:Fallback>
        </mc:AlternateContent>
      </w:r>
      <w:r>
        <w:drawing>
          <wp:anchor distT="304800" distB="0" distL="0" distR="0" simplePos="0" relativeHeight="125829382" behindDoc="0" locked="0" layoutInCell="1" allowOverlap="1">
            <wp:simplePos x="0" y="0"/>
            <wp:positionH relativeFrom="page">
              <wp:posOffset>3627120</wp:posOffset>
            </wp:positionH>
            <wp:positionV relativeFrom="paragraph">
              <wp:posOffset>304800</wp:posOffset>
            </wp:positionV>
            <wp:extent cx="1536065" cy="640080"/>
            <wp:wrapTopAndBottom/>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11"/>
                    <a:stretch/>
                  </pic:blipFill>
                  <pic:spPr>
                    <a:xfrm>
                      <a:ext cx="1536065" cy="640080"/>
                    </a:xfrm>
                    <a:prstGeom prst="rect"/>
                  </pic:spPr>
                </pic:pic>
              </a:graphicData>
            </a:graphic>
          </wp:anchor>
        </w:drawing>
      </w:r>
      <w:r>
        <mc:AlternateContent>
          <mc:Choice Requires="wps">
            <w:drawing>
              <wp:anchor distT="551815" distB="142875" distL="0" distR="0" simplePos="0" relativeHeight="125829383" behindDoc="0" locked="0" layoutInCell="1" allowOverlap="1">
                <wp:simplePos x="0" y="0"/>
                <wp:positionH relativeFrom="page">
                  <wp:posOffset>6016625</wp:posOffset>
                </wp:positionH>
                <wp:positionV relativeFrom="paragraph">
                  <wp:posOffset>551815</wp:posOffset>
                </wp:positionV>
                <wp:extent cx="1170305" cy="250190"/>
                <wp:wrapTopAndBottom/>
                <wp:docPr id="13" name="Shape 13"/>
                <a:graphic xmlns:a="http://schemas.openxmlformats.org/drawingml/2006/main">
                  <a:graphicData uri="http://schemas.microsoft.com/office/word/2010/wordprocessingShape">
                    <wps:wsp>
                      <wps:cNvSpPr txBox="1"/>
                      <wps:spPr>
                        <a:xfrm>
                          <a:ext cx="1170305" cy="25019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right"/>
                            </w:pPr>
                            <w:r>
                              <w:rPr>
                                <w:rStyle w:val="CharStyle16"/>
                              </w:rPr>
                              <w:t>М.П. Чеботина</w:t>
                            </w:r>
                          </w:p>
                        </w:txbxContent>
                      </wps:txbx>
                      <wps:bodyPr wrap="none" lIns="0" tIns="0" rIns="0" bIns="0">
                        <a:noAutoFit/>
                      </wps:bodyPr>
                    </wps:wsp>
                  </a:graphicData>
                </a:graphic>
              </wp:anchor>
            </w:drawing>
          </mc:Choice>
          <mc:Fallback>
            <w:pict>
              <v:shape id="_x0000_s1039" type="#_x0000_t202" style="position:absolute;margin-left:473.75pt;margin-top:43.450000000000003pt;width:92.150000000000006pt;height:19.699999999999999pt;z-index:-125829370;mso-wrap-distance-left:0;mso-wrap-distance-top:43.450000000000003pt;mso-wrap-distance-right:0;mso-wrap-distance-bottom:11.25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right"/>
                      </w:pPr>
                      <w:r>
                        <w:rPr>
                          <w:rStyle w:val="CharStyle16"/>
                        </w:rPr>
                        <w:t>М.П. Чеботина</w:t>
                      </w:r>
                    </w:p>
                  </w:txbxContent>
                </v:textbox>
                <w10:wrap type="topAndBottom" anchorx="page"/>
              </v:shape>
            </w:pict>
          </mc:Fallback>
        </mc:AlternateContent>
      </w:r>
    </w:p>
    <w:p>
      <w:pPr>
        <w:widowControl w:val="0"/>
        <w:spacing w:line="1" w:lineRule="exact"/>
      </w:pPr>
      <w:r>
        <mc:AlternateContent>
          <mc:Choice Requires="wps">
            <w:drawing>
              <wp:anchor distT="0" distB="0" distL="114300" distR="114300" simplePos="0" relativeHeight="125829385" behindDoc="0" locked="0" layoutInCell="1" allowOverlap="1">
                <wp:simplePos x="0" y="0"/>
                <wp:positionH relativeFrom="page">
                  <wp:posOffset>6187440</wp:posOffset>
                </wp:positionH>
                <wp:positionV relativeFrom="paragraph">
                  <wp:posOffset>274320</wp:posOffset>
                </wp:positionV>
                <wp:extent cx="999490" cy="252730"/>
                <wp:wrapTopAndBottom/>
                <wp:docPr id="15" name="Shape 15"/>
                <a:graphic xmlns:a="http://schemas.openxmlformats.org/drawingml/2006/main">
                  <a:graphicData uri="http://schemas.microsoft.com/office/word/2010/wordprocessingShape">
                    <wps:wsp>
                      <wps:cNvSpPr txBox="1"/>
                      <wps:spPr>
                        <a:xfrm>
                          <a:ext cx="999490" cy="25273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М.С. Дудина</w:t>
                            </w:r>
                          </w:p>
                        </w:txbxContent>
                      </wps:txbx>
                      <wps:bodyPr wrap="none" lIns="0" tIns="0" rIns="0" bIns="0">
                        <a:noAutoFit/>
                      </wps:bodyPr>
                    </wps:wsp>
                  </a:graphicData>
                </a:graphic>
              </wp:anchor>
            </w:drawing>
          </mc:Choice>
          <mc:Fallback>
            <w:pict>
              <v:shape id="_x0000_s1041" type="#_x0000_t202" style="position:absolute;margin-left:487.19999999999999pt;margin-top:21.600000000000001pt;width:78.700000000000003pt;height:19.900000000000002pt;z-index:-125829368;mso-wrap-distance-left:9.pt;mso-wrap-distance-right:9.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М.С. Дудина</w:t>
                      </w:r>
                    </w:p>
                  </w:txbxContent>
                </v:textbox>
                <w10:wrap type="topAndBottom" anchorx="page"/>
              </v:shape>
            </w:pict>
          </mc:Fallback>
        </mc:AlternateContent>
      </w:r>
      <w:r>
        <w:drawing>
          <wp:anchor distT="0" distB="533400" distL="114300" distR="114300" simplePos="0" relativeHeight="125829387" behindDoc="0" locked="0" layoutInCell="1" allowOverlap="1">
            <wp:simplePos x="0" y="0"/>
            <wp:positionH relativeFrom="page">
              <wp:posOffset>3636010</wp:posOffset>
            </wp:positionH>
            <wp:positionV relativeFrom="paragraph">
              <wp:posOffset>286385</wp:posOffset>
            </wp:positionV>
            <wp:extent cx="1524000" cy="640080"/>
            <wp:wrapSquare wrapText="right"/>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3"/>
                    <a:stretch/>
                  </pic:blipFill>
                  <pic:spPr>
                    <a:xfrm>
                      <a:ext cx="1524000" cy="64008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3916680</wp:posOffset>
                </wp:positionH>
                <wp:positionV relativeFrom="paragraph">
                  <wp:posOffset>1243330</wp:posOffset>
                </wp:positionV>
                <wp:extent cx="1182370" cy="189230"/>
                <wp:wrapNone/>
                <wp:docPr id="19" name="Shape 19"/>
                <a:graphic xmlns:a="http://schemas.openxmlformats.org/drawingml/2006/main">
                  <a:graphicData uri="http://schemas.microsoft.com/office/word/2010/wordprocessingShape">
                    <wps:wsp>
                      <wps:cNvSpPr txBox="1"/>
                      <wps:spPr>
                        <a:xfrm>
                          <a:ext cx="1182370" cy="189230"/>
                        </a:xfrm>
                        <a:prstGeom prst="rect"/>
                        <a:noFill/>
                      </wps:spPr>
                      <wps:txbx>
                        <w:txbxContent>
                          <w:p>
                            <w:pPr>
                              <w:pStyle w:val="Style12"/>
                              <w:keepNext w:val="0"/>
                              <w:keepLines w:val="0"/>
                              <w:widowControl w:val="0"/>
                              <w:shd w:val="clear" w:color="auto" w:fill="auto"/>
                              <w:bidi w:val="0"/>
                              <w:spacing w:before="0" w:after="0"/>
                              <w:ind w:left="0" w:right="0" w:firstLine="0"/>
                              <w:jc w:val="left"/>
                            </w:pPr>
                            <w:r>
                              <w:rPr>
                                <w:rStyle w:val="CharStyle13"/>
                                <w:b/>
                                <w:bCs/>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308.40000000000003pt;margin-top:97.900000000000006pt;width:93.100000000000009pt;height:14.9pt;z-index:251657729;mso-wrap-distance-left:0;mso-wrap-distance-right:0;mso-position-horizontal-relative:page" filled="f" stroked="f">
                <v:textbox inset="0,0,0,0">
                  <w:txbxContent>
                    <w:p>
                      <w:pPr>
                        <w:pStyle w:val="Style12"/>
                        <w:keepNext w:val="0"/>
                        <w:keepLines w:val="0"/>
                        <w:widowControl w:val="0"/>
                        <w:shd w:val="clear" w:color="auto" w:fill="auto"/>
                        <w:bidi w:val="0"/>
                        <w:spacing w:before="0" w:after="0"/>
                        <w:ind w:left="0" w:right="0" w:firstLine="0"/>
                        <w:jc w:val="left"/>
                      </w:pPr>
                      <w:r>
                        <w:rPr>
                          <w:rStyle w:val="CharStyle13"/>
                          <w:b/>
                          <w:bCs/>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drawing>
          <wp:anchor distT="902335" distB="0" distL="114300" distR="1385570" simplePos="0" relativeHeight="125829388" behindDoc="0" locked="0" layoutInCell="1" allowOverlap="1">
            <wp:simplePos x="0" y="0"/>
            <wp:positionH relativeFrom="page">
              <wp:posOffset>3636010</wp:posOffset>
            </wp:positionH>
            <wp:positionV relativeFrom="paragraph">
              <wp:posOffset>1188720</wp:posOffset>
            </wp:positionV>
            <wp:extent cx="255905" cy="267970"/>
            <wp:wrapSquare wrapText="right"/>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5"/>
                    <a:stretch/>
                  </pic:blipFill>
                  <pic:spPr>
                    <a:xfrm>
                      <a:ext cx="255905" cy="267970"/>
                    </a:xfrm>
                    <a:prstGeom prst="rect"/>
                  </pic:spPr>
                </pic:pic>
              </a:graphicData>
            </a:graphic>
          </wp:anchor>
        </w:drawing>
      </w:r>
    </w:p>
    <w:p>
      <w:pPr>
        <w:pStyle w:val="Style15"/>
        <w:keepNext w:val="0"/>
        <w:keepLines w:val="0"/>
        <w:widowControl w:val="0"/>
        <w:shd w:val="clear" w:color="auto" w:fill="auto"/>
        <w:bidi w:val="0"/>
        <w:spacing w:before="0" w:after="60" w:line="240" w:lineRule="auto"/>
        <w:ind w:left="0" w:right="0" w:firstLine="0"/>
        <w:jc w:val="left"/>
      </w:pPr>
      <w:r>
        <w:rPr>
          <w:rStyle w:val="CharStyle16"/>
        </w:rPr>
        <w:t>Члены Комиссии:</w:t>
      </w:r>
    </w:p>
    <w:p>
      <w:pPr>
        <w:pStyle w:val="Style15"/>
        <w:keepNext w:val="0"/>
        <w:keepLines w:val="0"/>
        <w:widowControl w:val="0"/>
        <w:shd w:val="clear" w:color="auto" w:fill="auto"/>
        <w:bidi w:val="0"/>
        <w:spacing w:before="660" w:after="435" w:line="240" w:lineRule="auto"/>
        <w:ind w:left="0" w:right="0" w:firstLine="0"/>
        <w:jc w:val="right"/>
      </w:pPr>
      <w:r>
        <w:rPr>
          <w:rStyle w:val="CharStyle16"/>
        </w:rPr>
        <w:t>И.А. Голубь</w:t>
      </w:r>
    </w:p>
    <w:p>
      <w:pPr>
        <w:pStyle w:val="Style22"/>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46" w:line="240" w:lineRule="auto"/>
        <w:ind w:right="0" w:firstLine="0"/>
        <w:jc w:val="left"/>
      </w:pPr>
      <w:r>
        <w:rPr>
          <w:rStyle w:val="CharStyle23"/>
          <w:b/>
          <w:bCs/>
        </w:rPr>
        <w:t>СВЕДЕНИЯ О СЕРТИФИКАТЕ ЭП</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Кому выдан: </w:t>
      </w:r>
      <w:r>
        <w:rPr>
          <w:rStyle w:val="CharStyle25"/>
          <w:color w:val="171717"/>
        </w:rPr>
        <w:t>Голубь Ирина Александровна</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Сертификат № </w:t>
      </w:r>
      <w:r>
        <w:rPr>
          <w:rStyle w:val="CharStyle25"/>
          <w:lang w:val="en-US" w:eastAsia="en-US"/>
        </w:rPr>
        <w:t>5ACEECC58659B6E106A237458B6D9AB2</w:t>
      </w:r>
    </w:p>
    <w:p>
      <w:pPr>
        <w:pStyle w:val="Style24"/>
        <w:keepNext w:val="0"/>
        <w:keepLines w:val="0"/>
        <w:widowControl w:val="0"/>
        <w:shd w:val="clear" w:color="auto" w:fill="auto"/>
        <w:bidi w:val="0"/>
        <w:spacing w:before="0" w:after="60" w:line="240" w:lineRule="auto"/>
        <w:ind w:right="0" w:firstLine="0"/>
        <w:jc w:val="left"/>
      </w:pPr>
      <w:r>
        <w:rPr>
          <w:rStyle w:val="CharStyle25"/>
        </w:rPr>
        <w:t xml:space="preserve">Действителен </w:t>
      </w:r>
      <w:r>
        <w:rPr>
          <w:rStyle w:val="CharStyle25"/>
          <w:color w:val="818181"/>
        </w:rPr>
        <w:t xml:space="preserve">с </w:t>
      </w:r>
      <w:r>
        <w:rPr>
          <w:rStyle w:val="CharStyle25"/>
        </w:rPr>
        <w:t>01.04.2025 по 25.06.2026</w:t>
      </w:r>
    </w:p>
    <w:sectPr>
      <w:footnotePr>
        <w:pos w:val="pageBottom"/>
        <w:numFmt w:val="decimal"/>
        <w:numRestart w:val="continuous"/>
      </w:footnotePr>
      <w:type w:val="continuous"/>
      <w:pgSz w:w="11900" w:h="16840"/>
      <w:pgMar w:top="1105" w:right="546" w:bottom="1105" w:left="111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725170</wp:posOffset>
              </wp:positionH>
              <wp:positionV relativeFrom="page">
                <wp:posOffset>10010140</wp:posOffset>
              </wp:positionV>
              <wp:extent cx="646430" cy="109855"/>
              <wp:wrapNone/>
              <wp:docPr id="3" name="Shape 3"/>
              <a:graphic xmlns:a="http://schemas.openxmlformats.org/drawingml/2006/main">
                <a:graphicData uri="http://schemas.microsoft.com/office/word/2010/wordprocessingShape">
                  <wps:wsp>
                    <wps:cNvSpPr txBox="1"/>
                    <wps:spPr>
                      <a:xfrm>
                        <a:ext cx="646430" cy="1098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2025-2814</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100000000000001pt;margin-top:788.20000000000005pt;width:50.899999999999999pt;height:8.65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2025-2814</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9851390</wp:posOffset>
              </wp:positionV>
              <wp:extent cx="646430" cy="109855"/>
              <wp:wrapNone/>
              <wp:docPr id="5" name="Shape 5"/>
              <a:graphic xmlns:a="http://schemas.openxmlformats.org/drawingml/2006/main">
                <a:graphicData uri="http://schemas.microsoft.com/office/word/2010/wordprocessingShape">
                  <wps:wsp>
                    <wps:cNvSpPr txBox="1"/>
                    <wps:spPr>
                      <a:xfrm>
                        <a:ext cx="646430" cy="1098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2025-2814</w:t>
                          </w:r>
                        </w:p>
                      </w:txbxContent>
                    </wps:txbx>
                    <wps:bodyPr wrap="none" lIns="0" tIns="0" rIns="0" bIns="0">
                      <a:spAutoFit/>
                    </wps:bodyPr>
                  </wps:wsp>
                </a:graphicData>
              </a:graphic>
            </wp:anchor>
          </w:drawing>
        </mc:Choice>
        <mc:Fallback>
          <w:pict>
            <v:shape id="_x0000_s1031" type="#_x0000_t202" style="position:absolute;margin-left:57.pt;margin-top:775.70000000000005pt;width:50.899999999999999pt;height:8.65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2025-2814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2)_"/>
    <w:basedOn w:val="DefaultParagraphFont"/>
    <w:link w:val="Style5"/>
    <w:rPr>
      <w:rFonts w:ascii="Times New Roman" w:eastAsia="Times New Roman" w:hAnsi="Times New Roman" w:cs="Times New Roman"/>
      <w:b w:val="0"/>
      <w:bCs w:val="0"/>
      <w:i w:val="0"/>
      <w:iCs w:val="0"/>
      <w:smallCaps w:val="0"/>
      <w:strike w:val="0"/>
      <w:color w:val="476197"/>
      <w:sz w:val="16"/>
      <w:szCs w:val="16"/>
      <w:u w:val="none"/>
    </w:rPr>
  </w:style>
  <w:style w:type="character" w:customStyle="1" w:styleId="CharStyle9">
    <w:name w:val="Body text (6)_"/>
    <w:basedOn w:val="DefaultParagraphFont"/>
    <w:link w:val="Style8"/>
    <w:rPr>
      <w:rFonts w:ascii="Times New Roman" w:eastAsia="Times New Roman" w:hAnsi="Times New Roman" w:cs="Times New Roman"/>
      <w:b/>
      <w:bCs/>
      <w:i w:val="0"/>
      <w:iCs w:val="0"/>
      <w:smallCaps w:val="0"/>
      <w:strike w:val="0"/>
      <w:color w:val="476197"/>
      <w:sz w:val="19"/>
      <w:szCs w:val="19"/>
      <w:u w:val="none"/>
    </w:rPr>
  </w:style>
  <w:style w:type="character" w:customStyle="1" w:styleId="CharStyle11">
    <w:name w:val="Heading #2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3">
    <w:name w:val="Picture caption_"/>
    <w:basedOn w:val="DefaultParagraphFont"/>
    <w:link w:val="Style12"/>
    <w:rPr>
      <w:rFonts w:ascii="Times New Roman" w:eastAsia="Times New Roman" w:hAnsi="Times New Roman" w:cs="Times New Roman"/>
      <w:b/>
      <w:bCs/>
      <w:i w:val="0"/>
      <w:iCs w:val="0"/>
      <w:smallCaps w:val="0"/>
      <w:strike w:val="0"/>
      <w:color w:val="3B3B3B"/>
      <w:sz w:val="8"/>
      <w:szCs w:val="8"/>
      <w:u w:val="none"/>
    </w:rPr>
  </w:style>
  <w:style w:type="character" w:customStyle="1" w:styleId="CharStyle16">
    <w:name w:val="Body text_"/>
    <w:basedOn w:val="DefaultParagraphFont"/>
    <w:link w:val="Style15"/>
    <w:rPr>
      <w:rFonts w:ascii="Times New Roman" w:eastAsia="Times New Roman" w:hAnsi="Times New Roman" w:cs="Times New Roman"/>
      <w:b w:val="0"/>
      <w:bCs w:val="0"/>
      <w:i w:val="0"/>
      <w:iCs w:val="0"/>
      <w:smallCaps w:val="0"/>
      <w:strike w:val="0"/>
      <w:sz w:val="28"/>
      <w:szCs w:val="28"/>
      <w:u w:val="none"/>
    </w:rPr>
  </w:style>
  <w:style w:type="character" w:customStyle="1" w:styleId="CharStyle19">
    <w:name w:val="Heading #1_"/>
    <w:basedOn w:val="DefaultParagraphFont"/>
    <w:link w:val="Style18"/>
    <w:rPr>
      <w:rFonts w:ascii="Arial" w:eastAsia="Arial" w:hAnsi="Arial" w:cs="Arial"/>
      <w:b w:val="0"/>
      <w:bCs w:val="0"/>
      <w:i w:val="0"/>
      <w:iCs w:val="0"/>
      <w:smallCaps w:val="0"/>
      <w:strike w:val="0"/>
      <w:sz w:val="36"/>
      <w:szCs w:val="36"/>
      <w:u w:val="none"/>
      <w:lang w:val="en-US" w:eastAsia="en-US"/>
    </w:rPr>
  </w:style>
  <w:style w:type="character" w:customStyle="1" w:styleId="CharStyle21">
    <w:name w:val="Body text (3)_"/>
    <w:basedOn w:val="DefaultParagraphFont"/>
    <w:link w:val="Style20"/>
    <w:rPr>
      <w:rFonts w:ascii="Times New Roman" w:eastAsia="Times New Roman" w:hAnsi="Times New Roman" w:cs="Times New Roman"/>
      <w:b w:val="0"/>
      <w:bCs w:val="0"/>
      <w:i/>
      <w:iCs/>
      <w:smallCaps w:val="0"/>
      <w:strike w:val="0"/>
      <w:u w:val="none"/>
    </w:rPr>
  </w:style>
  <w:style w:type="character" w:customStyle="1" w:styleId="CharStyle23">
    <w:name w:val="Body text (5)_"/>
    <w:basedOn w:val="DefaultParagraphFont"/>
    <w:link w:val="Style22"/>
    <w:rPr>
      <w:rFonts w:ascii="Times New Roman" w:eastAsia="Times New Roman" w:hAnsi="Times New Roman" w:cs="Times New Roman"/>
      <w:b/>
      <w:bCs/>
      <w:i w:val="0"/>
      <w:iCs w:val="0"/>
      <w:smallCaps w:val="0"/>
      <w:strike w:val="0"/>
      <w:color w:val="D7D7D7"/>
      <w:sz w:val="8"/>
      <w:szCs w:val="8"/>
      <w:u w:val="none"/>
    </w:rPr>
  </w:style>
  <w:style w:type="character" w:customStyle="1" w:styleId="CharStyle25">
    <w:name w:val="Body text (4)_"/>
    <w:basedOn w:val="DefaultParagraphFont"/>
    <w:link w:val="Style24"/>
    <w:rPr>
      <w:rFonts w:ascii="Arial" w:eastAsia="Arial" w:hAnsi="Arial" w:cs="Arial"/>
      <w:b w:val="0"/>
      <w:bCs w:val="0"/>
      <w:i w:val="0"/>
      <w:iCs w:val="0"/>
      <w:smallCaps w:val="0"/>
      <w:strike w:val="0"/>
      <w:color w:val="656565"/>
      <w:sz w:val="8"/>
      <w:szCs w:val="8"/>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2)"/>
    <w:basedOn w:val="Normal"/>
    <w:link w:val="CharStyle6"/>
    <w:pPr>
      <w:widowControl w:val="0"/>
      <w:shd w:val="clear" w:color="auto" w:fill="auto"/>
      <w:spacing w:after="190" w:line="283" w:lineRule="auto"/>
      <w:jc w:val="center"/>
    </w:pPr>
    <w:rPr>
      <w:rFonts w:ascii="Times New Roman" w:eastAsia="Times New Roman" w:hAnsi="Times New Roman" w:cs="Times New Roman"/>
      <w:b w:val="0"/>
      <w:bCs w:val="0"/>
      <w:i w:val="0"/>
      <w:iCs w:val="0"/>
      <w:smallCaps w:val="0"/>
      <w:strike w:val="0"/>
      <w:color w:val="476197"/>
      <w:sz w:val="16"/>
      <w:szCs w:val="16"/>
      <w:u w:val="none"/>
    </w:rPr>
  </w:style>
  <w:style w:type="paragraph" w:customStyle="1" w:styleId="Style8">
    <w:name w:val="Body text (6)"/>
    <w:basedOn w:val="Normal"/>
    <w:link w:val="CharStyle9"/>
    <w:pPr>
      <w:widowControl w:val="0"/>
      <w:shd w:val="clear" w:color="auto" w:fill="auto"/>
      <w:spacing w:line="254" w:lineRule="auto"/>
      <w:jc w:val="center"/>
    </w:pPr>
    <w:rPr>
      <w:rFonts w:ascii="Times New Roman" w:eastAsia="Times New Roman" w:hAnsi="Times New Roman" w:cs="Times New Roman"/>
      <w:b/>
      <w:bCs/>
      <w:i w:val="0"/>
      <w:iCs w:val="0"/>
      <w:smallCaps w:val="0"/>
      <w:strike w:val="0"/>
      <w:color w:val="476197"/>
      <w:sz w:val="19"/>
      <w:szCs w:val="19"/>
      <w:u w:val="none"/>
    </w:rPr>
  </w:style>
  <w:style w:type="paragraph" w:customStyle="1" w:styleId="Style10">
    <w:name w:val="Heading #2"/>
    <w:basedOn w:val="Normal"/>
    <w:link w:val="CharStyle11"/>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2">
    <w:name w:val="Picture caption"/>
    <w:basedOn w:val="Normal"/>
    <w:link w:val="CharStyle13"/>
    <w:pPr>
      <w:widowControl w:val="0"/>
      <w:shd w:val="clear" w:color="auto" w:fill="auto"/>
      <w:spacing w:line="221" w:lineRule="auto"/>
    </w:pPr>
    <w:rPr>
      <w:rFonts w:ascii="Times New Roman" w:eastAsia="Times New Roman" w:hAnsi="Times New Roman" w:cs="Times New Roman"/>
      <w:b/>
      <w:bCs/>
      <w:i w:val="0"/>
      <w:iCs w:val="0"/>
      <w:smallCaps w:val="0"/>
      <w:strike w:val="0"/>
      <w:color w:val="3B3B3B"/>
      <w:sz w:val="8"/>
      <w:szCs w:val="8"/>
      <w:u w:val="none"/>
    </w:rPr>
  </w:style>
  <w:style w:type="paragraph" w:styleId="Style15">
    <w:name w:val="Body text"/>
    <w:basedOn w:val="Normal"/>
    <w:link w:val="CharStyle16"/>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8">
    <w:name w:val="Heading #1"/>
    <w:basedOn w:val="Normal"/>
    <w:link w:val="CharStyle19"/>
    <w:pPr>
      <w:widowControl w:val="0"/>
      <w:shd w:val="clear" w:color="auto" w:fill="auto"/>
      <w:spacing w:after="280"/>
      <w:outlineLvl w:val="0"/>
    </w:pPr>
    <w:rPr>
      <w:rFonts w:ascii="Arial" w:eastAsia="Arial" w:hAnsi="Arial" w:cs="Arial"/>
      <w:b w:val="0"/>
      <w:bCs w:val="0"/>
      <w:i w:val="0"/>
      <w:iCs w:val="0"/>
      <w:smallCaps w:val="0"/>
      <w:strike w:val="0"/>
      <w:sz w:val="36"/>
      <w:szCs w:val="36"/>
      <w:u w:val="none"/>
      <w:lang w:val="en-US" w:eastAsia="en-US"/>
    </w:rPr>
  </w:style>
  <w:style w:type="paragraph" w:customStyle="1" w:styleId="Style20">
    <w:name w:val="Body text (3)"/>
    <w:basedOn w:val="Normal"/>
    <w:link w:val="CharStyle21"/>
    <w:pPr>
      <w:widowControl w:val="0"/>
      <w:shd w:val="clear" w:color="auto" w:fill="auto"/>
      <w:ind w:firstLine="720"/>
    </w:pPr>
    <w:rPr>
      <w:rFonts w:ascii="Times New Roman" w:eastAsia="Times New Roman" w:hAnsi="Times New Roman" w:cs="Times New Roman"/>
      <w:b w:val="0"/>
      <w:bCs w:val="0"/>
      <w:i/>
      <w:iCs/>
      <w:smallCaps w:val="0"/>
      <w:strike w:val="0"/>
      <w:u w:val="none"/>
    </w:rPr>
  </w:style>
  <w:style w:type="paragraph" w:customStyle="1" w:styleId="Style22">
    <w:name w:val="Body text (5)"/>
    <w:basedOn w:val="Normal"/>
    <w:link w:val="CharStyle23"/>
    <w:pPr>
      <w:widowControl w:val="0"/>
      <w:shd w:val="clear" w:color="auto" w:fill="auto"/>
      <w:spacing w:after="60"/>
      <w:ind w:left="5120"/>
    </w:pPr>
    <w:rPr>
      <w:rFonts w:ascii="Times New Roman" w:eastAsia="Times New Roman" w:hAnsi="Times New Roman" w:cs="Times New Roman"/>
      <w:b/>
      <w:bCs/>
      <w:i w:val="0"/>
      <w:iCs w:val="0"/>
      <w:smallCaps w:val="0"/>
      <w:strike w:val="0"/>
      <w:color w:val="D7D7D7"/>
      <w:sz w:val="8"/>
      <w:szCs w:val="8"/>
      <w:u w:val="none"/>
    </w:rPr>
  </w:style>
  <w:style w:type="paragraph" w:customStyle="1" w:styleId="Style24">
    <w:name w:val="Body text (4)"/>
    <w:basedOn w:val="Normal"/>
    <w:link w:val="CharStyle25"/>
    <w:pPr>
      <w:widowControl w:val="0"/>
      <w:shd w:val="clear" w:color="auto" w:fill="auto"/>
      <w:spacing w:after="30"/>
      <w:ind w:left="4640"/>
    </w:pPr>
    <w:rPr>
      <w:rFonts w:ascii="Arial" w:eastAsia="Arial" w:hAnsi="Arial" w:cs="Arial"/>
      <w:b w:val="0"/>
      <w:bCs w:val="0"/>
      <w:i w:val="0"/>
      <w:iCs w:val="0"/>
      <w:smallCaps w:val="0"/>
      <w:strike w:val="0"/>
      <w:color w:val="656565"/>
      <w:sz w:val="8"/>
      <w:szCs w:val="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 Id="rId15" Type="http://schemas.openxmlformats.org/officeDocument/2006/relationships/image" Target="media/image5.jpeg"/><Relationship Id="rId16" Type="http://schemas.openxmlformats.org/officeDocument/2006/relationships/image" Target="media/image5.jpeg" TargetMode="External"/></Relationships>
</file>