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85" w:right="546" w:bottom="94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>e-mail: to52@,</w:t>
      </w:r>
      <w:r>
        <w:rPr>
          <w:rStyle w:val="CharStyle6"/>
          <w:u w:val="single"/>
          <w:lang w:val="en-US" w:eastAsia="en-US"/>
        </w:rPr>
        <w:t>fas.gov.ru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5.08.2025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ИБ/16195/2</w:t>
      </w:r>
      <w:r>
        <w:rPr>
          <w:rStyle w:val="CharStyle10"/>
          <w:u w:val="none"/>
        </w:rPr>
        <w:t>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260" w:firstLine="0"/>
        <w:jc w:val="righ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Решение по жалобе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</w:rPr>
        <w:t>052/06/105-2010/2025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  <w:b/>
          <w:bCs/>
        </w:rPr>
        <w:t>Управление Федеральной службы по ветеринарному и фитосанитарному надзору по Нижегородской области и Республике Марий Эл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ул. Ижорская, д.35,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3"/>
        </w:rPr>
        <w:t>г. Нижний Новгород, 603105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"mailto:finans.nn@gmail.com" </w:instrText>
      </w:r>
      <w:r>
        <w:fldChar w:fldCharType="separate"/>
      </w:r>
      <w:r>
        <w:rPr>
          <w:rStyle w:val="CharStyle13"/>
          <w:lang w:val="en-US" w:eastAsia="en-US"/>
        </w:rPr>
        <w:t>finans.nn@gmail.com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"mailto:ursn.nn@gmail.com" </w:instrText>
      </w:r>
      <w:r>
        <w:fldChar w:fldCharType="separate"/>
      </w:r>
      <w:r>
        <w:rPr>
          <w:rStyle w:val="CharStyle13"/>
          <w:lang w:val="en-US" w:eastAsia="en-US"/>
        </w:rPr>
        <w:t>ursn.nn@gmail.com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6"/>
          <w:b/>
          <w:bCs/>
        </w:rPr>
        <w:t>ЭТП «Фабрикант»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123112, город Москва, улица Тестовская, дом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07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этаж 25, помещение 1, комната 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"mailto:pfo@etpz.ru" </w:instrText>
      </w:r>
      <w:r>
        <w:fldChar w:fldCharType="separate"/>
      </w:r>
      <w:r>
        <w:rPr>
          <w:rStyle w:val="CharStyle13"/>
          <w:lang w:val="en-US" w:eastAsia="en-US"/>
        </w:rPr>
        <w:t>pfo@etpz.ru</w:t>
      </w:r>
      <w:r>
        <w:fldChar w:fldCharType="end"/>
      </w:r>
      <w:r>
        <w:rPr>
          <w:rStyle w:val="CharStyle13"/>
          <w:lang w:val="en-US" w:eastAsia="en-US"/>
        </w:rPr>
        <w:t xml:space="preserve">, </w:t>
      </w: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3"/>
          <w:lang w:val="en-US" w:eastAsia="en-US"/>
        </w:rPr>
        <w:t>info@fabrikant.ru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"mailto:auditors@fabrikant.ru" </w:instrText>
      </w:r>
      <w:r>
        <w:fldChar w:fldCharType="separate"/>
      </w:r>
      <w:r>
        <w:rPr>
          <w:rStyle w:val="CharStyle13"/>
          <w:lang w:val="en-US" w:eastAsia="en-US"/>
        </w:rPr>
        <w:t>auditors@fabrikant.ru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6"/>
          <w:b/>
          <w:bCs/>
        </w:rPr>
        <w:t>ИП Шерстнев Андрей Александрович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661" w:bottom="1395" w:left="1135" w:header="0" w:footer="3" w:gutter="0"/>
          <w:cols w:num="2" w:space="720" w:equalWidth="0">
            <w:col w:w="4320" w:space="946"/>
            <w:col w:w="4838"/>
          </w:cols>
          <w:noEndnote/>
          <w:rtlGutter w:val="0"/>
          <w:docGrid w:linePitch="360"/>
        </w:sectPr>
      </w:pPr>
      <w:r>
        <w:fldChar w:fldCharType="begin"/>
      </w:r>
      <w:r>
        <w:rPr/>
        <w:instrText> HYPERLINK "mailto:andry_ss90@mail.ru" </w:instrText>
      </w:r>
      <w:r>
        <w:fldChar w:fldCharType="separate"/>
      </w:r>
      <w:r>
        <w:rPr>
          <w:rStyle w:val="CharStyle13"/>
          <w:lang w:val="en-US" w:eastAsia="en-US"/>
        </w:rPr>
        <w:t>andry_ss90@mail.ru</w:t>
      </w:r>
      <w:r>
        <w:fldChar w:fldCharType="end"/>
      </w: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2" w:right="0" w:bottom="135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0" w:name="bookmark10"/>
      <w:r>
        <w:rPr>
          <w:rStyle w:val="CharStyle16"/>
          <w:b/>
          <w:bCs/>
        </w:rPr>
        <w:t>РЕШЕНИЕ</w:t>
        <w:br/>
        <w:t>№ 052/06/105-2010/2025</w:t>
      </w:r>
      <w:bookmarkEnd w:id="1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20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212850" cy="21653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28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31 июля 2025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800000000000004pt;margin-top:1.pt;width:95.5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31 июля 2025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17" w:val="left"/>
        </w:tabs>
        <w:bidi w:val="0"/>
        <w:spacing w:before="0" w:after="0" w:line="240" w:lineRule="auto"/>
        <w:ind w:left="520" w:right="0" w:hanging="18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112520" cy="74358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7435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hd w:val="clear" w:color="auto" w:fill="auto"/>
                              <w:tabs>
                                <w:tab w:pos="13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Баранова И.В.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hd w:val="clear" w:color="auto" w:fill="auto"/>
                              <w:tabs>
                                <w:tab w:pos="134" w:val="left"/>
                              </w:tabs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Войновой М.К.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shd w:val="clear" w:color="auto" w:fill="auto"/>
                              <w:tabs>
                                <w:tab w:pos="13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Смолиной В.В.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800000000000004pt;margin-top:1.pt;width:87.600000000000009pt;height:58.550000000000004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3"/>
                        </w:numPr>
                        <w:shd w:val="clear" w:color="auto" w:fill="auto"/>
                        <w:tabs>
                          <w:tab w:pos="13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Баранова И.В.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3"/>
                        </w:numPr>
                        <w:shd w:val="clear" w:color="auto" w:fill="auto"/>
                        <w:tabs>
                          <w:tab w:pos="134" w:val="left"/>
                        </w:tabs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Войновой М.К.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3"/>
                        </w:numPr>
                        <w:shd w:val="clear" w:color="auto" w:fill="auto"/>
                        <w:tabs>
                          <w:tab w:pos="13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Смолиной В.В.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17" w:val="left"/>
        </w:tabs>
        <w:bidi w:val="0"/>
        <w:spacing w:before="0" w:after="0" w:line="240" w:lineRule="auto"/>
        <w:ind w:left="520" w:right="0" w:hanging="180"/>
        <w:jc w:val="both"/>
      </w:pPr>
      <w:r>
        <w:rPr>
          <w:rStyle w:val="CharStyle13"/>
        </w:rPr>
        <w:t>члена комиссии, ведущего специалиста-эксперта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17" w:val="left"/>
        </w:tabs>
        <w:bidi w:val="0"/>
        <w:spacing w:before="0" w:after="340" w:line="240" w:lineRule="auto"/>
        <w:ind w:left="520" w:right="0" w:hanging="180"/>
        <w:jc w:val="both"/>
      </w:pPr>
      <w:r>
        <w:rPr>
          <w:rStyle w:val="CharStyle13"/>
        </w:rPr>
        <w:t>члена комиссии, специалиста 1 разряда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при участии посредством видео-конференц-связи: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2520" w:right="0" w:hanging="2520"/>
        <w:jc w:val="both"/>
      </w:pPr>
      <w:r>
        <w:rPr>
          <w:rStyle w:val="CharStyle13"/>
        </w:rPr>
        <w:t>Ивановой Ю.Ю. - представителя управления Федеральной службы по ветеринарному и фитосанитарному надзору по Нижегородской области и Республике Марий Эл (доверенность №01-28/38 от 11.06.2025),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77" w:val="left"/>
        </w:tabs>
        <w:bidi w:val="0"/>
        <w:spacing w:before="0" w:after="240" w:line="240" w:lineRule="auto"/>
        <w:ind w:left="2520" w:right="0" w:hanging="2520"/>
        <w:jc w:val="both"/>
      </w:pPr>
      <w:r>
        <w:rPr>
          <w:rStyle w:val="CharStyle13"/>
        </w:rPr>
        <w:t>Бесчастновой Н.В. представителя управления Федеральной службы по ветеринарному и фитосанитарному надзору по Нижегородской области и Республике Марий Эл (доверенность №01-28/39 от 11.06.2025),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>рассмотрев посредством видеоконферецсвязи жалобу Индивидуального предпринимателя Шерстнева Андрея Александровича (далее также – заявитель, ИП Шерстнев А.А.) на действия управления Федеральной службы по ветеринарному и фитосанитарному надзору по Нижегородской области и Республике Марий Эл (далее также — Управления Россельхознадзора по Нижегородской области и Республике Марий Эл, заказчик) при определении поставщика путем проведения запроса котировок в электронной форме на право заключения контракта по объекту</w:t>
      </w:r>
    </w:p>
    <w:p>
      <w:pPr>
        <w:widowControl w:val="0"/>
        <w:spacing w:line="1" w:lineRule="exact"/>
      </w:pPr>
      <w:r>
        <w:drawing>
          <wp:anchor distT="76200" distB="0" distL="0" distR="0" simplePos="0" relativeHeight="125829382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76200</wp:posOffset>
            </wp:positionV>
            <wp:extent cx="1298575" cy="41465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13"/>
        </w:rPr>
        <w:t xml:space="preserve">закупки: «Поставка запасных частей для автотранспортных средств (автомобильные шины)», номер извещения </w:t>
      </w:r>
      <w:r>
        <w:rPr>
          <w:rStyle w:val="CharStyle13"/>
          <w:lang w:val="en-US" w:eastAsia="en-US"/>
        </w:rPr>
        <w:t>0332100014625000017,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12" w:name="bookmark12"/>
      <w:r>
        <w:rPr>
          <w:rStyle w:val="CharStyle16"/>
          <w:b/>
          <w:bCs/>
        </w:rPr>
        <w:t>установила:</w:t>
      </w:r>
      <w:bookmarkEnd w:id="1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Управление Федеральной антимонопольной службы по Нижегородской области поступила жалоба заявителя на действия заказчика при определении поставщика путем проведения запроса котировок в электронной форме на право заключения контракта по объекту закупки: «Поставка запасных частей для автотранспортных средств (автомобильные шины)», номер извещения </w:t>
      </w:r>
      <w:r>
        <w:rPr>
          <w:rStyle w:val="CharStyle13"/>
          <w:lang w:val="en-US" w:eastAsia="en-US"/>
        </w:rPr>
        <w:t>0332100014625000017.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По мнению заявителя, действия заказчика не соответствуют требованиям положений 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также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Представители заказчика на заседании Комиссии Нижегородского УФАС России с доводами, изложенными в жалобе заявителя, не согласились, факт нарушений требований Закона о контрактной системе не признали, считают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17.07.2025 </w:t>
      </w:r>
      <w:r>
        <w:rPr>
          <w:rStyle w:val="CharStyle13"/>
        </w:rPr>
        <w:t xml:space="preserve">в единой информационной системе и на сайте электронной площадки -«Фабрикант»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размещено извещение о проведении запроса котировок в электронной форме.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Начальная (максимальная) цена контракта </w:t>
      </w:r>
      <w:r>
        <w:rPr>
          <w:rStyle w:val="CharStyle13"/>
          <w:lang w:val="en-US" w:eastAsia="en-US"/>
        </w:rPr>
        <w:t xml:space="preserve">– 105 233,32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По мнению заявителя, котировочной комиссией Заказчика неправомерна отклонена заявка заявителя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50 </w:t>
      </w:r>
      <w:r>
        <w:rPr>
          <w:rStyle w:val="CharStyle13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члены комиссии по осуществлению закупок:</w:t>
      </w:r>
    </w:p>
    <w:p>
      <w:pPr>
        <w:pStyle w:val="Style1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частью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3"/>
          <w:lang w:val="en-US" w:eastAsia="en-US"/>
        </w:rPr>
        <w:t xml:space="preserve">1 - 8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52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3"/>
        </w:rPr>
        <w:t xml:space="preserve">на основании решения,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частью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 xml:space="preserve">настоящего Федерального закона), предложенных участником закупки, подавшим такую заявку, с учетом положений нормативных правовых актов, принятых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настоящего Федерального закона. Заявке на участие в закупке победителя определения поставщика (подрядчика, исполнителя) присваивается первый номер. В случае, если в нескольких заявках на участие в закупке содержатся одинаковые предложения, предусмотренные пунктом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или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закона, меньший порядковый номер присваивается заявке на участие в закупке, которая поступила ранее других таких заявок;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</w:t>
      </w:r>
      <w:r>
        <w:rPr>
          <w:rStyle w:val="CharStyle13"/>
          <w:lang w:val="en-US" w:eastAsia="en-US"/>
        </w:rPr>
        <w:t xml:space="preserve">1, 2, 4 - 7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непредставления информации и документов, предусмотренных пунктами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3"/>
          <w:lang w:val="en-US" w:eastAsia="en-US"/>
        </w:rPr>
        <w:t xml:space="preserve">1.1, 2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2.1 </w:t>
      </w:r>
      <w:r>
        <w:rPr>
          <w:rStyle w:val="CharStyle13"/>
        </w:rPr>
        <w:t xml:space="preserve">(при наличии таких требований) 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предусмотренных нормативными правовыми актами, принятыми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настоящего Федерального закона (за исключением случаев непредставления информации и документов, предусмотренных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закона);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непредставления информации и документов, предусмотренных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частью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настоящего Федерального закона (в случае установления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2018 </w:t>
      </w:r>
      <w:r>
        <w:rPr>
          <w:rStyle w:val="CharStyle13"/>
        </w:rPr>
        <w:t xml:space="preserve">года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7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предусмотренных 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45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7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выявления недостоверной информации, содержащейся в заявке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3"/>
          <w:lang w:val="en-US" w:eastAsia="en-US"/>
        </w:rPr>
        <w:t xml:space="preserve">25.07.2025 </w:t>
      </w:r>
      <w:r>
        <w:rPr>
          <w:rStyle w:val="CharStyle13"/>
        </w:rPr>
        <w:t xml:space="preserve">№ИЗК1, заявка заявителя жалобы отклонена ввиду несоответствия требованиям ст.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44 </w:t>
      </w:r>
      <w:r>
        <w:rPr>
          <w:rStyle w:val="CharStyle13"/>
        </w:rPr>
        <w:t>ФЗ, а именно: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«заявка, содержит предложение о поставке товара, происходящего из иностранного государства»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3"/>
        </w:rPr>
        <w:t xml:space="preserve">Комиссия Нижегородского УФАС России проанализировав извещение </w:t>
      </w:r>
      <w:r>
        <w:rPr>
          <w:rStyle w:val="CharStyle13"/>
          <w:lang w:val="en-US" w:eastAsia="en-US"/>
        </w:rPr>
        <w:t xml:space="preserve">№0332100014625000017 </w:t>
      </w:r>
      <w:r>
        <w:rPr>
          <w:rStyle w:val="CharStyle13"/>
        </w:rPr>
        <w:t xml:space="preserve">выявила применение национального режима по ст.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44-ФЗ, а именно:</w:t>
      </w:r>
    </w:p>
    <w:tbl>
      <w:tblPr>
        <w:tblOverlap w:val="never"/>
        <w:jc w:val="center"/>
        <w:tblLayout w:type="fixed"/>
      </w:tblPr>
      <w:tblGrid>
        <w:gridCol w:w="2438"/>
        <w:gridCol w:w="2947"/>
        <w:gridCol w:w="4829"/>
      </w:tblGrid>
      <w:tr>
        <w:trPr>
          <w:trHeight w:val="3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</w:rPr>
              <w:t>Объект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</w:rPr>
              <w:t>Вид требования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</w:rPr>
              <w:t>Обоснование невозможности соблюдения запрета,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438"/>
        <w:gridCol w:w="2947"/>
        <w:gridCol w:w="4829"/>
      </w:tblGrid>
      <w:tr>
        <w:trPr>
          <w:trHeight w:val="36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</w:rPr>
              <w:t>ограничения</w:t>
            </w:r>
          </w:p>
        </w:tc>
      </w:tr>
      <w:tr>
        <w:trPr>
          <w:trHeight w:val="13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  <w:lang w:val="en-US" w:eastAsia="en-US"/>
              </w:rPr>
              <w:t>22.11.11.000-00000007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</w:rPr>
              <w:t>Шина пневматическая для легкового автомобиля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</w:rPr>
              <w:t>Запрет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</w:rPr>
              <w:t xml:space="preserve">подп. "и" п. </w:t>
            </w:r>
            <w:r>
              <w:rPr>
                <w:rStyle w:val="CharStyle22"/>
                <w:sz w:val="20"/>
                <w:szCs w:val="20"/>
                <w:lang w:val="en-US" w:eastAsia="en-US"/>
              </w:rPr>
              <w:t xml:space="preserve">5 - </w:t>
            </w:r>
            <w:r>
              <w:rPr>
                <w:rStyle w:val="CharStyle22"/>
                <w:sz w:val="20"/>
                <w:szCs w:val="20"/>
              </w:rPr>
              <w:t xml:space="preserve">Закупка товаров, при которой НМЦК (НМЦД), цена контракта (договора) с ед. поставщиком, </w:t>
            </w:r>
            <w:r>
              <w:rPr>
                <w:rStyle w:val="CharStyle22"/>
                <w:sz w:val="20"/>
                <w:szCs w:val="20"/>
                <w:lang w:val="en-US" w:eastAsia="en-US"/>
              </w:rPr>
              <w:t xml:space="preserve">≤ 1 </w:t>
            </w:r>
            <w:r>
              <w:rPr>
                <w:rStyle w:val="CharStyle22"/>
                <w:sz w:val="20"/>
                <w:szCs w:val="20"/>
              </w:rPr>
              <w:t xml:space="preserve">млн рублей и при этом ни одна из использованных при определении таких цен цена единицы товара не превышает </w:t>
            </w:r>
            <w:r>
              <w:rPr>
                <w:rStyle w:val="CharStyle22"/>
                <w:sz w:val="20"/>
                <w:szCs w:val="20"/>
                <w:lang w:val="en-US" w:eastAsia="en-US"/>
              </w:rPr>
              <w:t xml:space="preserve">300 </w:t>
            </w:r>
            <w:r>
              <w:rPr>
                <w:rStyle w:val="CharStyle22"/>
                <w:sz w:val="20"/>
                <w:szCs w:val="20"/>
              </w:rPr>
              <w:t>тыс. рублей</w:t>
            </w:r>
          </w:p>
        </w:tc>
      </w:tr>
      <w:tr>
        <w:trPr>
          <w:trHeight w:val="133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  <w:lang w:val="en-US" w:eastAsia="en-US"/>
              </w:rPr>
              <w:t>22.11.11.000-00000007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</w:rPr>
              <w:t>Шина пневматическая для легкового автомобиля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</w:rPr>
              <w:t>Запрет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</w:rPr>
              <w:t xml:space="preserve">подп. "и" п. </w:t>
            </w:r>
            <w:r>
              <w:rPr>
                <w:rStyle w:val="CharStyle22"/>
                <w:sz w:val="20"/>
                <w:szCs w:val="20"/>
                <w:lang w:val="en-US" w:eastAsia="en-US"/>
              </w:rPr>
              <w:t xml:space="preserve">5 - </w:t>
            </w:r>
            <w:r>
              <w:rPr>
                <w:rStyle w:val="CharStyle22"/>
                <w:sz w:val="20"/>
                <w:szCs w:val="20"/>
              </w:rPr>
              <w:t xml:space="preserve">Закупка товаров, при которой НМЦК (НМЦД), цена контракта (договора) с ед. поставщиком, </w:t>
            </w:r>
            <w:r>
              <w:rPr>
                <w:rStyle w:val="CharStyle22"/>
                <w:sz w:val="20"/>
                <w:szCs w:val="20"/>
                <w:lang w:val="en-US" w:eastAsia="en-US"/>
              </w:rPr>
              <w:t xml:space="preserve">≤ 1 </w:t>
            </w:r>
            <w:r>
              <w:rPr>
                <w:rStyle w:val="CharStyle22"/>
                <w:sz w:val="20"/>
                <w:szCs w:val="20"/>
              </w:rPr>
              <w:t xml:space="preserve">млн рублей и при этом ни одна из использованных при определении таких цен цена единицы товара не превышает </w:t>
            </w:r>
            <w:r>
              <w:rPr>
                <w:rStyle w:val="CharStyle22"/>
                <w:sz w:val="20"/>
                <w:szCs w:val="20"/>
                <w:lang w:val="en-US" w:eastAsia="en-US"/>
              </w:rPr>
              <w:t xml:space="preserve">300 </w:t>
            </w:r>
            <w:r>
              <w:rPr>
                <w:rStyle w:val="CharStyle22"/>
                <w:sz w:val="20"/>
                <w:szCs w:val="20"/>
              </w:rPr>
              <w:t>тыс. рублей</w:t>
            </w:r>
          </w:p>
        </w:tc>
      </w:tr>
      <w:tr>
        <w:trPr>
          <w:trHeight w:val="13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  <w:lang w:val="en-US" w:eastAsia="en-US"/>
              </w:rPr>
              <w:t>22.11.11.000-00000007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</w:rPr>
              <w:t>Шина пневматическая для легкового автомобиля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</w:rPr>
              <w:t>Запрет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</w:rPr>
              <w:t xml:space="preserve">подп. "и" п. </w:t>
            </w:r>
            <w:r>
              <w:rPr>
                <w:rStyle w:val="CharStyle22"/>
                <w:sz w:val="20"/>
                <w:szCs w:val="20"/>
                <w:lang w:val="en-US" w:eastAsia="en-US"/>
              </w:rPr>
              <w:t xml:space="preserve">5 - </w:t>
            </w:r>
            <w:r>
              <w:rPr>
                <w:rStyle w:val="CharStyle22"/>
                <w:sz w:val="20"/>
                <w:szCs w:val="20"/>
              </w:rPr>
              <w:t xml:space="preserve">Закупка товаров, при которой НМЦК (НМЦД), цена контракта (договора) с ед. поставщиком, </w:t>
            </w:r>
            <w:r>
              <w:rPr>
                <w:rStyle w:val="CharStyle22"/>
                <w:sz w:val="20"/>
                <w:szCs w:val="20"/>
                <w:lang w:val="en-US" w:eastAsia="en-US"/>
              </w:rPr>
              <w:t xml:space="preserve">≤ 1 </w:t>
            </w:r>
            <w:r>
              <w:rPr>
                <w:rStyle w:val="CharStyle22"/>
                <w:sz w:val="20"/>
                <w:szCs w:val="20"/>
              </w:rPr>
              <w:t xml:space="preserve">млн рублей и при этом ни одна из использованных при определении таких цен цена единицы товара не превышает </w:t>
            </w:r>
            <w:r>
              <w:rPr>
                <w:rStyle w:val="CharStyle22"/>
                <w:sz w:val="20"/>
                <w:szCs w:val="20"/>
                <w:lang w:val="en-US" w:eastAsia="en-US"/>
              </w:rPr>
              <w:t xml:space="preserve">300 </w:t>
            </w:r>
            <w:r>
              <w:rPr>
                <w:rStyle w:val="CharStyle22"/>
                <w:sz w:val="20"/>
                <w:szCs w:val="20"/>
              </w:rPr>
              <w:t>тыс. рублей</w:t>
            </w:r>
          </w:p>
        </w:tc>
      </w:tr>
      <w:tr>
        <w:trPr>
          <w:trHeight w:val="133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  <w:lang w:val="en-US" w:eastAsia="en-US"/>
              </w:rPr>
              <w:t>22.11.11.000-00000007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</w:rPr>
              <w:t>Шина пневматическая для легкового автомобиля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</w:rPr>
              <w:t>Запрет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Style w:val="CharStyle22"/>
                <w:sz w:val="20"/>
                <w:szCs w:val="20"/>
              </w:rPr>
              <w:t xml:space="preserve">подп. "и" п. </w:t>
            </w:r>
            <w:r>
              <w:rPr>
                <w:rStyle w:val="CharStyle22"/>
                <w:sz w:val="20"/>
                <w:szCs w:val="20"/>
                <w:lang w:val="en-US" w:eastAsia="en-US"/>
              </w:rPr>
              <w:t xml:space="preserve">5 - </w:t>
            </w:r>
            <w:r>
              <w:rPr>
                <w:rStyle w:val="CharStyle22"/>
                <w:sz w:val="20"/>
                <w:szCs w:val="20"/>
              </w:rPr>
              <w:t xml:space="preserve">Закупка товаров, при которой НМЦК (НМЦД), цена контракта (договора) с ед. поставщиком, </w:t>
            </w:r>
            <w:r>
              <w:rPr>
                <w:rStyle w:val="CharStyle22"/>
                <w:sz w:val="20"/>
                <w:szCs w:val="20"/>
                <w:lang w:val="en-US" w:eastAsia="en-US"/>
              </w:rPr>
              <w:t xml:space="preserve">≤ 1 </w:t>
            </w:r>
            <w:r>
              <w:rPr>
                <w:rStyle w:val="CharStyle22"/>
                <w:sz w:val="20"/>
                <w:szCs w:val="20"/>
              </w:rPr>
              <w:t xml:space="preserve">млн рублей и при этом ни одна из использованных при определении таких цен цена единицы товара не превышает </w:t>
            </w:r>
            <w:r>
              <w:rPr>
                <w:rStyle w:val="CharStyle22"/>
                <w:sz w:val="20"/>
                <w:szCs w:val="20"/>
                <w:lang w:val="en-US" w:eastAsia="en-US"/>
              </w:rPr>
              <w:t xml:space="preserve">300 </w:t>
            </w:r>
            <w:r>
              <w:rPr>
                <w:rStyle w:val="CharStyle22"/>
                <w:sz w:val="20"/>
                <w:szCs w:val="20"/>
              </w:rPr>
              <w:t>тыс. рублей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Комиссия приходит к выводу, что вышеуказанный запрет в рамках данной закупки не применяется, следовательно отклонение заявки заявителя жалобы (как и иных заявок </w:t>
      </w:r>
      <w:r>
        <w:rPr>
          <w:rStyle w:val="CharStyle13"/>
          <w:lang w:val="en-US" w:eastAsia="en-US"/>
        </w:rPr>
        <w:t xml:space="preserve">№1,2,3,5,6,7) </w:t>
      </w:r>
      <w:r>
        <w:rPr>
          <w:rStyle w:val="CharStyle13"/>
        </w:rPr>
        <w:t xml:space="preserve">на основании несоответствия требованиям ст.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44 </w:t>
      </w:r>
      <w:r>
        <w:rPr>
          <w:rStyle w:val="CharStyle13"/>
        </w:rPr>
        <w:t xml:space="preserve">ФЗ нарушает частб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этой связи жалоба ИП Шерстнева А.А. признается 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По мнению Комиссии Нижегородского УФАС России, нарушения допущенные комиссией в ходе проведения закупочной процедуры в данном случае могут быть устранены только путем проведения процедуры определения поставщика (подрядчика, исполнителя) повторно, Комиссия Нижегородского УФАС России приходит к выводу о необходимости и целесообразности выдачи соответствующего предписания.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 xml:space="preserve">С учетом изложенного, руководствуясь 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14" w:name="bookmark14"/>
      <w:r>
        <w:rPr>
          <w:rStyle w:val="CharStyle16"/>
          <w:b/>
          <w:bCs/>
        </w:rPr>
        <w:t>решила:</w:t>
      </w:r>
      <w:bookmarkEnd w:id="14"/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Признать жалобу Индивидуального предпринимателя Шерстнева Андрея Александровича на действия управления Федеральной службы по ветеринарному и фитосанитарному надзору по Нижегородской области и Республике Марий Эл при определении поставщика путем проведения запроса котировок в электронной форме на право заключения контракта по объекту закупки: «Поставка запасных частей для автотранспортных средств (автомобильные шины)», номер извещения </w:t>
      </w:r>
      <w:r>
        <w:rPr>
          <w:rStyle w:val="CharStyle13"/>
          <w:lang w:val="en-US" w:eastAsia="en-US"/>
        </w:rPr>
        <w:t xml:space="preserve">0332100014625000017, </w:t>
      </w:r>
      <w:r>
        <w:rPr>
          <w:rStyle w:val="CharStyle13"/>
        </w:rPr>
        <w:t>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Признать заказчика нарушившим требования 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38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3"/>
        </w:rPr>
        <w:t>Выдать котировочной комиссии и оператору электронной площадки предписание об устранении допущенных нарушений.</w:t>
      </w:r>
      <w:r>
        <w:br w:type="page"/>
      </w:r>
    </w:p>
    <w:p>
      <w:pPr>
        <w:pStyle w:val="Style1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238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3"/>
        </w:rPr>
        <w:t>Передать материалы дела уполномоченному должностному лицу для рассмотрения вопроса о возможности возбуждения административного производства по признакам совершения административного правонарушения.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>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2" w:right="535" w:bottom="1355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191770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304800</wp:posOffset>
                </wp:positionV>
                <wp:extent cx="182245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rStyle w:val="CharStyle18"/>
                              </w:rPr>
                              <w:t>Председатель комиссии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pt;margin-top:24.pt;width:143.5pt;height:19.699999999999999pt;z-index:-125829370;mso-wrap-distance-left:0;mso-wrap-distance-top:24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rStyle w:val="CharStyle18"/>
                        </w:rPr>
                        <w:t>Председатель комиссии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2590" distB="0" distL="0" distR="1816735" simplePos="0" relativeHeight="125829385" behindDoc="0" locked="0" layoutInCell="1" allowOverlap="1">
            <wp:simplePos x="0" y="0"/>
            <wp:positionH relativeFrom="page">
              <wp:posOffset>3223895</wp:posOffset>
            </wp:positionH>
            <wp:positionV relativeFrom="paragraph">
              <wp:posOffset>402590</wp:posOffset>
            </wp:positionV>
            <wp:extent cx="298450" cy="34734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463550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4.55000000000001pt;margin-top:36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191770" distL="0" distR="0" simplePos="0" relativeHeight="125829386" behindDoc="0" locked="0" layoutInCell="1" allowOverlap="1">
                <wp:simplePos x="0" y="0"/>
                <wp:positionH relativeFrom="page">
                  <wp:posOffset>6186170</wp:posOffset>
                </wp:positionH>
                <wp:positionV relativeFrom="paragraph">
                  <wp:posOffset>304800</wp:posOffset>
                </wp:positionV>
                <wp:extent cx="102743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8" w:name="bookmark8"/>
                            <w:r>
                              <w:rPr>
                                <w:rStyle w:val="CharStyle18"/>
                              </w:rPr>
                              <w:t>И.В. Баранов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7.10000000000002pt;margin-top:24.pt;width:80.900000000000006pt;height:19.699999999999999pt;z-index:-125829367;mso-wrap-distance-left:0;mso-wrap-distance-top:24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8" w:name="bookmark8"/>
                      <w:r>
                        <w:rPr>
                          <w:rStyle w:val="CharStyle18"/>
                        </w:rPr>
                        <w:t>И.В. Баранов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</w:t>
      </w:r>
      <w:r>
        <w:rPr>
          <w:rStyle w:val="CharStyle27"/>
          <w:color w:val="565656"/>
        </w:rPr>
        <w:t xml:space="preserve">выдан: </w:t>
      </w:r>
      <w:r>
        <w:rPr>
          <w:rStyle w:val="CharStyle27"/>
          <w:color w:val="000000"/>
        </w:rPr>
        <w:t>Баранов Илья Валерьевич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00823DDF3459882163B2B99BFD4E606E6E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Действителен с 11.07.2024 </w:t>
      </w:r>
      <w:r>
        <w:rPr>
          <w:rStyle w:val="CharStyle27"/>
          <w:color w:val="565656"/>
        </w:rPr>
        <w:t>по 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66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92405" distL="0" distR="0" simplePos="0" relativeHeight="125829388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88900</wp:posOffset>
                </wp:positionV>
                <wp:extent cx="1344295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8"/>
                              </w:rPr>
                              <w:t>Члены комиссии: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75pt;margin-top:7.pt;width:105.85000000000001pt;height:19.900000000000002pt;z-index:-125829365;mso-wrap-distance-left:0;mso-wrap-distance-top: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8"/>
                        </w:rPr>
                        <w:t>Члены комиссии: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9230" distB="635" distL="0" distR="1816735" simplePos="0" relativeHeight="125829390" behindDoc="0" locked="0" layoutInCell="1" allowOverlap="1">
            <wp:simplePos x="0" y="0"/>
            <wp:positionH relativeFrom="page">
              <wp:posOffset>3223895</wp:posOffset>
            </wp:positionH>
            <wp:positionV relativeFrom="paragraph">
              <wp:posOffset>189230</wp:posOffset>
            </wp:positionV>
            <wp:extent cx="298450" cy="34734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4.55000000000001pt;margin-top:19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92405" distL="0" distR="0" simplePos="0" relativeHeight="125829391" behindDoc="0" locked="0" layoutInCell="1" allowOverlap="1">
                <wp:simplePos x="0" y="0"/>
                <wp:positionH relativeFrom="page">
                  <wp:posOffset>6170930</wp:posOffset>
                </wp:positionH>
                <wp:positionV relativeFrom="paragraph">
                  <wp:posOffset>88900</wp:posOffset>
                </wp:positionV>
                <wp:extent cx="1045210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8" w:name="bookmark18"/>
                            <w:r>
                              <w:rPr>
                                <w:rStyle w:val="CharStyle18"/>
                              </w:rPr>
                              <w:t>М.К.Войнова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5.90000000000003pt;margin-top:7.pt;width:82.299999999999997pt;height:19.900000000000002pt;z-index:-125829362;mso-wrap-distance-left:0;mso-wrap-distance-top:7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8" w:name="bookmark18"/>
                      <w:r>
                        <w:rPr>
                          <w:rStyle w:val="CharStyle18"/>
                        </w:rPr>
                        <w:t>М.К.Войнова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Войнова Мария Константиновна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00F91F1</w:t>
      </w:r>
      <w:r>
        <w:rPr>
          <w:rStyle w:val="CharStyle27"/>
        </w:rPr>
        <w:t>С83ЕВС291</w:t>
      </w:r>
      <w:r>
        <w:rPr>
          <w:rStyle w:val="CharStyle27"/>
          <w:lang w:val="en-US" w:eastAsia="en-US"/>
        </w:rPr>
        <w:t>BD8EBF105EB4BA753</w:t>
      </w:r>
      <w:r>
        <w:rPr>
          <w:rStyle w:val="CharStyle27"/>
          <w:lang w:val="en-US" w:eastAsia="en-US"/>
        </w:rPr>
        <w:t>Z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7"/>
        </w:rPr>
        <w:t xml:space="preserve">Действителен с 17.06.2025 </w:t>
      </w:r>
      <w:r>
        <w:rPr>
          <w:rStyle w:val="CharStyle27"/>
          <w:color w:val="565656"/>
        </w:rPr>
        <w:t xml:space="preserve">по </w:t>
      </w:r>
      <w:r>
        <w:rPr>
          <w:rStyle w:val="CharStyle27"/>
        </w:rPr>
        <w:t>10.09.2026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93" behindDoc="0" locked="0" layoutInCell="1" allowOverlap="1">
            <wp:simplePos x="0" y="0"/>
            <wp:positionH relativeFrom="page">
              <wp:posOffset>3223895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4.55000000000001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0" w:name="bookmark20"/>
      <w:r>
        <w:rPr>
          <w:rStyle w:val="CharStyle18"/>
        </w:rPr>
        <w:t>В.В. Смолина</w:t>
      </w:r>
      <w:bookmarkEnd w:id="20"/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5"/>
          <w:color w:val="FFFFFF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Смолина Виктория Викторовна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6A6D38099227BA9548AD878BAD370CD0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180" w:line="240" w:lineRule="auto"/>
        <w:ind w:right="0" w:firstLine="0"/>
        <w:jc w:val="left"/>
      </w:pPr>
      <w:r>
        <w:rPr>
          <w:rStyle w:val="CharStyle27"/>
        </w:rPr>
        <w:t xml:space="preserve">Действителен с 07.05.2025 </w:t>
      </w:r>
      <w:r>
        <w:rPr>
          <w:rStyle w:val="CharStyle27"/>
          <w:color w:val="565656"/>
        </w:rPr>
        <w:t xml:space="preserve">по </w:t>
      </w:r>
      <w:r>
        <w:rPr>
          <w:rStyle w:val="CharStyle27"/>
        </w:rPr>
        <w:t>31.07.2026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Исп.Войнова М.К.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тел.431-73-87, вн.052-707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781050</wp:posOffset>
              </wp:positionH>
              <wp:positionV relativeFrom="page">
                <wp:posOffset>10162540</wp:posOffset>
              </wp:positionV>
              <wp:extent cx="69786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78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2025-18673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5pt;margin-top:800.20000000000005pt;width:54.950000000000003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2025-18673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10031730</wp:posOffset>
              </wp:positionV>
              <wp:extent cx="697865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786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2025-18673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89.89999999999998pt;width:54.950000000000003pt;height:10.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2025-18673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716915</wp:posOffset>
              </wp:positionV>
              <wp:extent cx="57785" cy="7302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5000000000003pt;margin-top:56.450000000000003pt;width:4.5499999999999998pt;height:5.7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0"/>
      <w:numFmt w:val="decimal"/>
      <w:lvlText w:val="%1,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Heading #3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Heading #2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Other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5">
    <w:name w:val="Body text (4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Heading #3"/>
    <w:basedOn w:val="Normal"/>
    <w:link w:val="CharStyle16"/>
    <w:pPr>
      <w:widowControl w:val="0"/>
      <w:shd w:val="clear" w:color="auto" w:fill="auto"/>
      <w:spacing w:after="24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Heading #2"/>
    <w:basedOn w:val="Normal"/>
    <w:link w:val="CharStyle18"/>
    <w:pPr>
      <w:widowControl w:val="0"/>
      <w:shd w:val="clear" w:color="auto" w:fill="auto"/>
      <w:jc w:val="right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Other"/>
    <w:basedOn w:val="Normal"/>
    <w:link w:val="CharStyle2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100"/>
      <w:ind w:left="46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39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