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402" w:bottom="1225" w:left="818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  <w:br/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тел. (4012) 53-72-01, факс (4012) 53-72-00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6"/>
          <w:lang w:val="en-US" w:eastAsia="en-US"/>
        </w:rPr>
        <w:t>to39@fas.gov.ni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1.08.2025</w:t>
        <w:tab/>
      </w:r>
      <w:r>
        <w:fldChar w:fldCharType="end"/>
      </w:r>
      <w:r>
        <w:rPr>
          <w:rStyle w:val="CharStyle9"/>
        </w:rPr>
        <w:t xml:space="preserve">№ </w:t>
      </w:r>
      <w:r>
        <w:rPr>
          <w:rStyle w:val="CharStyle9"/>
          <w:u w:val="single"/>
        </w:rPr>
        <w:t>НИ/5200/2</w:t>
      </w:r>
      <w:r>
        <w:rPr>
          <w:rStyle w:val="CharStyle9"/>
        </w:rPr>
        <w:t>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решение по жалобе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Заявитель: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 xml:space="preserve">ООО «СОЛИНГ» </w:t>
      </w:r>
      <w:r>
        <w:fldChar w:fldCharType="begin"/>
      </w:r>
      <w:r>
        <w:rPr/>
        <w:instrText> HYPERLINK "mailto:soling-yacht@mail.ru" </w:instrText>
      </w:r>
      <w:r>
        <w:fldChar w:fldCharType="separate"/>
      </w:r>
      <w:r>
        <w:rPr>
          <w:rStyle w:val="CharStyle14"/>
          <w:lang w:val="en-US" w:eastAsia="en-US"/>
        </w:rPr>
        <w:t>soling-yacht@mail.ru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Оператор электронной площадки: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 xml:space="preserve">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  <w:r>
        <w:rPr>
          <w:rStyle w:val="CharStyle14"/>
          <w:lang w:val="en-US" w:eastAsia="en-US"/>
        </w:rPr>
        <w:t xml:space="preserve">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4"/>
          <w:lang w:val="en-US" w:eastAsia="en-US"/>
        </w:rPr>
        <w:t>info@rts-tender.ru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Заказчик: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Управление Федеральной налоговой службы по Калининградской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872" w:bottom="1154" w:left="1130" w:header="0" w:footer="3" w:gutter="0"/>
          <w:cols w:num="2" w:space="653"/>
          <w:noEndnote/>
          <w:rtlGutter w:val="0"/>
          <w:docGrid w:linePitch="360"/>
        </w:sectPr>
      </w:pPr>
      <w:r>
        <w:fldChar w:fldCharType="begin"/>
      </w:r>
      <w:r>
        <w:rPr/>
        <w:instrText> HYPERLINK "mailto:zakupki.r3900@tax.gov.ru"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zakupki.r3900@tax.gov.ru</w:t>
      </w:r>
      <w:r>
        <w:fldChar w:fldCharType="end"/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3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8" w:name="bookmark8"/>
      <w:r>
        <w:rPr>
          <w:rStyle w:val="CharStyle16"/>
          <w:b/>
          <w:bCs/>
        </w:rPr>
        <w:t>РЕШЕНИЕ № 039/06/33-861/2025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6292215</wp:posOffset>
                </wp:positionH>
                <wp:positionV relativeFrom="paragraph">
                  <wp:posOffset>12700</wp:posOffset>
                </wp:positionV>
                <wp:extent cx="1002665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5.44999999999999pt;margin-top:1.pt;width:78.95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Резолютивная часть объявлена 20.08.2025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>Изготовлено в полном объеме 21.08.2025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Н.С. Иванова – заместитель руководителя — начальник отдела контроля органов власти, закупок и рекламы Калининградского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О.И. Филатов – ведущий специалист – эксперт отдела контроля органов власти, закупок и рекламы Калининградского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О.И. Аркадьева — ведущий специалист – эксперт отдела контроля органов власти, закупок и рекламы Калининградского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при участии представителей заказчика — Управления Федеральной антимонопольной службы по Калининградской области: Колоколов Г.Г. (по доверенности), Зенькова Д.И. (по доверенности), Шиндяпина С.В.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в отсутствие представителей заявителя — ООО «СОЛИНГ», уведомленных надлежащим образом о датах и времени заседаний Комиссии,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600"/>
        <w:jc w:val="both"/>
      </w:pPr>
      <w:r>
        <w:rPr>
          <w:rStyle w:val="CharStyle14"/>
        </w:rPr>
        <w:t xml:space="preserve">рассмотрев в режиме видеоконференцсвязи посредством плагина </w:t>
      </w:r>
      <w:r>
        <w:rPr>
          <w:rStyle w:val="CharStyle14"/>
          <w:lang w:val="en-US" w:eastAsia="en-US"/>
        </w:rPr>
        <w:t xml:space="preserve">«TrueConf» </w:t>
      </w:r>
      <w:r>
        <w:rPr>
          <w:rStyle w:val="CharStyle14"/>
        </w:rPr>
        <w:t>жалобу ООО «СОЛИНГ» (вх. № 6503/25 от 13.08.2025) (далее — Заявитель) на действия заказчика — Управления Федеральной антимонопольной службы по Калининградской области (далее — Заказчик) при осуществлении электронного аукциона, предметом которого является поставка автоматизированных рабочих мест (извещение № 0135100003625000028) (далее – Аукцион), и в результате внеплановой проверки, проведенной в соответствии с частью 15 статьи 99 Федерального закона от 05.04.2013 № 44- ФЗ «О контрактной системе в сфере закупок товаров, работ, услуг для обеспечения государственных 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10" w:name="bookmark10"/>
      <w:r>
        <w:rPr>
          <w:rStyle w:val="CharStyle19"/>
        </w:rPr>
        <w:t xml:space="preserve">uni mu mi mu in </w:t>
      </w:r>
      <w:r>
        <w:rPr>
          <w:rStyle w:val="CharStyle19"/>
          <w:lang w:val="ru-RU" w:eastAsia="ru-RU"/>
        </w:rPr>
        <w:t>и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14"/>
        </w:rPr>
        <w:t xml:space="preserve">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УСТАНОВИЛА: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00"/>
        <w:jc w:val="both"/>
      </w:pPr>
      <w:r>
        <w:rPr>
          <w:rStyle w:val="CharStyle14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4"/>
          <w:lang w:val="en-US" w:eastAsia="en-US"/>
        </w:rPr>
        <w:t xml:space="preserve">13.08.2025 </w:t>
      </w:r>
      <w:r>
        <w:rPr>
          <w:rStyle w:val="CharStyle14"/>
        </w:rPr>
        <w:t>поступила жалоба Заявителя на действия Заказчика при формировании извещения об осуществлении Аукциона.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00" w:line="276" w:lineRule="auto"/>
        <w:ind w:left="0" w:right="0" w:firstLine="0"/>
        <w:jc w:val="center"/>
      </w:pPr>
      <w:bookmarkStart w:id="14" w:name="bookmark14"/>
      <w:r>
        <w:rPr>
          <w:rStyle w:val="CharStyle16"/>
          <w:b/>
          <w:bCs/>
        </w:rPr>
        <w:t>В обоснование своей жалобы Заявитель привел следующие доводы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00"/>
        <w:jc w:val="both"/>
      </w:pPr>
      <w:r>
        <w:rPr>
          <w:rStyle w:val="CharStyle14"/>
        </w:rPr>
        <w:t>Заявитель полагает, что описание объекта закупки составлено таким образом, что под него подходит только товар одного производителя ООО «Арбайт»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00" w:line="276" w:lineRule="auto"/>
        <w:ind w:left="0" w:right="0" w:firstLine="0"/>
        <w:jc w:val="center"/>
      </w:pPr>
      <w:bookmarkStart w:id="16" w:name="bookmark16"/>
      <w:r>
        <w:rPr>
          <w:rStyle w:val="CharStyle16"/>
          <w:b/>
          <w:bCs/>
        </w:rPr>
        <w:t>Заказчиком даны следующие пояснения по сути жалобы Заявителя</w:t>
      </w:r>
      <w:bookmarkEnd w:id="1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00"/>
        <w:jc w:val="both"/>
      </w:pPr>
      <w:r>
        <w:rPr>
          <w:rStyle w:val="CharStyle14"/>
        </w:rPr>
        <w:t xml:space="preserve">Заказчик полагает, что в его действиях при формировании извещения об осуществлении закупки отсутствуют нарушения требований действующего законодательства. Также Заказчик пояснил, что до подачи жалобы Заявителем о существовании товаров производителя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ООО «Арбайт» не знал.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bookmarkStart w:id="18" w:name="bookmark18"/>
      <w:r>
        <w:rPr>
          <w:rStyle w:val="CharStyle16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6"/>
          <w:b/>
          <w:bCs/>
          <w:lang w:val="en-US" w:eastAsia="en-US"/>
        </w:rPr>
        <w:t xml:space="preserve">15 </w:t>
      </w:r>
      <w:r>
        <w:rPr>
          <w:rStyle w:val="CharStyle16"/>
          <w:b/>
          <w:bCs/>
        </w:rPr>
        <w:t xml:space="preserve">статьи </w:t>
      </w:r>
      <w:r>
        <w:rPr>
          <w:rStyle w:val="CharStyle16"/>
          <w:b/>
          <w:bCs/>
          <w:lang w:val="en-US" w:eastAsia="en-US"/>
        </w:rPr>
        <w:t xml:space="preserve">99 </w:t>
      </w:r>
      <w:r>
        <w:rPr>
          <w:rStyle w:val="CharStyle16"/>
          <w:b/>
          <w:bCs/>
        </w:rPr>
        <w:t>Закона о контрактной системе внеплановой проверки, Комиссия установила следующее.</w:t>
      </w:r>
      <w:bookmarkEnd w:id="1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  <w:lang w:val="en-US" w:eastAsia="en-US"/>
        </w:rPr>
        <w:t xml:space="preserve">08.08.2025 </w:t>
      </w:r>
      <w:r>
        <w:rPr>
          <w:rStyle w:val="CharStyle14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официальный сайт, ЕИС) размещено извещение об осуществлении закупки </w:t>
      </w:r>
      <w:r>
        <w:rPr>
          <w:rStyle w:val="CharStyle14"/>
          <w:lang w:val="en-US" w:eastAsia="en-US"/>
        </w:rPr>
        <w:t xml:space="preserve">№ 0135100003625000028 </w:t>
      </w:r>
      <w:r>
        <w:rPr>
          <w:rStyle w:val="CharStyle14"/>
        </w:rPr>
        <w:t xml:space="preserve">с приложениями. Начальная (максимальная) цена контракта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НМЦК) </w:t>
      </w:r>
      <w:r>
        <w:rPr>
          <w:rStyle w:val="CharStyle14"/>
          <w:lang w:val="en-US" w:eastAsia="en-US"/>
        </w:rPr>
        <w:t xml:space="preserve">– 14 010 837,50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Объектом закупки является товар с кодом позиции ОКПД2: </w:t>
      </w:r>
      <w:r>
        <w:rPr>
          <w:rStyle w:val="CharStyle14"/>
          <w:lang w:val="en-US" w:eastAsia="en-US"/>
        </w:rPr>
        <w:t xml:space="preserve">26.20.15.150 </w:t>
      </w:r>
      <w:r>
        <w:rPr>
          <w:rStyle w:val="CharStyle14"/>
        </w:rPr>
        <w:t>«Автоматизированное рабочее место».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00"/>
        <w:jc w:val="both"/>
      </w:pPr>
      <w:r>
        <w:rPr>
          <w:rStyle w:val="CharStyle14"/>
        </w:rPr>
        <w:t>По мнению Заявителя, описание объекта закупки содержит следующие характеристики указывающие на товар одного производителя:</w:t>
      </w:r>
    </w:p>
    <w:tbl>
      <w:tblPr>
        <w:tblOverlap w:val="never"/>
        <w:jc w:val="center"/>
        <w:tblLayout w:type="fixed"/>
      </w:tblPr>
      <w:tblGrid>
        <w:gridCol w:w="6744"/>
        <w:gridCol w:w="3240"/>
      </w:tblGrid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  <w:lang w:val="ru-RU" w:eastAsia="ru-RU"/>
              </w:rPr>
              <w:t>Тип порта видеовыхода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</w:rPr>
              <w:t>HDMI, Mini DisplayPort, USB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</w:rPr>
              <w:t>Type-C, DisplayPort, VGA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  <w:lang w:val="ru-RU" w:eastAsia="ru-RU"/>
              </w:rPr>
              <w:t xml:space="preserve">Количество портов </w:t>
            </w:r>
            <w:r>
              <w:rPr>
                <w:rStyle w:val="CharStyle21"/>
                <w:sz w:val="22"/>
                <w:szCs w:val="22"/>
              </w:rPr>
              <w:t xml:space="preserve">I IDMI, </w:t>
            </w:r>
            <w:r>
              <w:rPr>
                <w:rStyle w:val="CharStyle21"/>
                <w:sz w:val="22"/>
                <w:szCs w:val="22"/>
                <w:lang w:val="ru-RU" w:eastAsia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</w:rPr>
              <w:t>≥2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  <w:lang w:val="ru-RU" w:eastAsia="ru-RU"/>
              </w:rPr>
              <w:t xml:space="preserve">Количество портов </w:t>
            </w:r>
            <w:r>
              <w:rPr>
                <w:rStyle w:val="CharStyle21"/>
                <w:sz w:val="22"/>
                <w:szCs w:val="22"/>
              </w:rPr>
              <w:t xml:space="preserve">DisplayPort. </w:t>
            </w:r>
            <w:r>
              <w:rPr>
                <w:rStyle w:val="CharStyle21"/>
                <w:sz w:val="22"/>
                <w:szCs w:val="22"/>
                <w:lang w:val="ru-RU" w:eastAsia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</w:rPr>
              <w:t>≥ 1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  <w:lang w:val="ru-RU" w:eastAsia="ru-RU"/>
              </w:rPr>
              <w:t xml:space="preserve">Количество портов </w:t>
            </w:r>
            <w:r>
              <w:rPr>
                <w:rStyle w:val="CharStyle21"/>
                <w:sz w:val="22"/>
                <w:szCs w:val="22"/>
              </w:rPr>
              <w:t xml:space="preserve">Mini DisplayPor , </w:t>
            </w:r>
            <w:r>
              <w:rPr>
                <w:rStyle w:val="CharStyle21"/>
                <w:sz w:val="22"/>
                <w:szCs w:val="22"/>
                <w:lang w:val="ru-RU" w:eastAsia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1"/>
                <w:sz w:val="22"/>
                <w:szCs w:val="22"/>
              </w:rPr>
              <w:t>≥ 1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В обосновании установления указанных требований Заказчик поясняет следующее.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after="300"/>
        <w:ind w:left="0" w:right="0" w:firstLine="600"/>
        <w:jc w:val="both"/>
      </w:pPr>
      <w:r>
        <w:rPr>
          <w:rStyle w:val="CharStyle14"/>
          <w:lang w:val="en-US" w:eastAsia="en-US"/>
        </w:rPr>
        <w:t xml:space="preserve">) </w:t>
      </w:r>
      <w:r>
        <w:rPr>
          <w:rStyle w:val="CharStyle14"/>
        </w:rPr>
        <w:t xml:space="preserve">Гибкость подключения внешних дисплеев и периферийных устройств: Разнообразие видеовыходов </w:t>
      </w:r>
      <w:r>
        <w:rPr>
          <w:rStyle w:val="CharStyle14"/>
          <w:lang w:val="en-US" w:eastAsia="en-US"/>
        </w:rPr>
        <w:t xml:space="preserve">(HDMI, DisplayPort, Mini DisplayPort, USB Type-C, VGA) </w:t>
      </w:r>
      <w:r>
        <w:rPr>
          <w:rStyle w:val="CharStyle14"/>
        </w:rPr>
        <w:t xml:space="preserve">обеспечивает совместимость с широким спектром внешних мониторов, проекторов и других периферийных устройств отображения информации. Это важно для обеспечения универсальности рабочих станций и возможности их использования в различных условиях и с разным оборудованием. </w:t>
      </w:r>
      <w:r>
        <w:rPr>
          <w:rStyle w:val="CharStyle14"/>
          <w:lang w:val="en-US" w:eastAsia="en-US"/>
        </w:rPr>
        <w:t xml:space="preserve">2) </w:t>
      </w:r>
      <w:r>
        <w:rPr>
          <w:rStyle w:val="CharStyle14"/>
        </w:rPr>
        <w:t>Поддержка различных сценариев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работы: Наличие нескольких типов портов позволяет организовать расширенное рабочее пространство, подключая одновременно несколько дисплеев или периферийных устройств, что повышает эффективность работы специалистов. </w:t>
      </w:r>
      <w:r>
        <w:rPr>
          <w:rStyle w:val="CharStyle14"/>
          <w:lang w:val="en-US" w:eastAsia="en-US"/>
        </w:rPr>
        <w:t xml:space="preserve">3) </w:t>
      </w:r>
      <w:r>
        <w:rPr>
          <w:rStyle w:val="CharStyle14"/>
        </w:rPr>
        <w:t xml:space="preserve">Отсутствие дискретного графического контроллера: В случае отсутствия установленного дискретного графического контроллера устройство использует встроенные графические возможности процессора (интегрированную графику). Это оправдано для рабочих мест с умеренными требованиями к графической производительности, например, офисной работы, работы с документами и т.п. Данное решение позволяет снизить стоимость оборудования и уменьшить энергопотребление без существенной потери функциональности. </w:t>
      </w:r>
      <w:r>
        <w:rPr>
          <w:rStyle w:val="CharStyle14"/>
          <w:lang w:val="en-US" w:eastAsia="en-US"/>
        </w:rPr>
        <w:t xml:space="preserve">4) </w:t>
      </w:r>
      <w:r>
        <w:rPr>
          <w:rStyle w:val="CharStyle14"/>
        </w:rPr>
        <w:t>Обеспечение экономической эффективности: Использование встроенной графики и наличие разнообразных видеовыходов позволяют создать универсальные рабочие места без необходимости приобретения дорогостоящих дискретных видеокарт и дополнительных переходников, а также конвертеров сигнала, что способствует оптимизации бюджета при сохранении необходимых функций.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Комиссия проанализировав извещение об осуществлении закупки, представленные материалы выслушав пояснения представителей Заказчика,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Согласно статье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>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Исполнением требований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должно являться наличие на рынке как минимум двух производителей, товар которых соответствует всем требованиям обозначенным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При этом включение в извещение об осуществлении закупки требований к закупаемому товару, которые свидетельствуют о его конкретном производителе, является нарушением положений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системе. Данная позиция находит свое отражение также в пункте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утвержденного Президиумом Верховного Суда Российской Федерации </w:t>
      </w:r>
      <w:r>
        <w:rPr>
          <w:rStyle w:val="CharStyle14"/>
          <w:lang w:val="en-US" w:eastAsia="en-US"/>
        </w:rPr>
        <w:t>28.06.2017.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При формировании НМЦК по закупке Заказчиком были получены коммерческие предложения от ООО «МОНКО», ООО «Компинтегро», ООО «КОМПЬЮТЕРЫ И СЕТИ», в которых были предложены следующие конфигурации автоматизированных рабочих мест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АРМ):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АРМ/ПЭВМ БЕШТАУ БЕРТ.466219.005-006 </w:t>
      </w:r>
      <w:r>
        <w:rPr>
          <w:rStyle w:val="CharStyle14"/>
          <w:lang w:val="en-US" w:eastAsia="en-US"/>
        </w:rPr>
        <w:t xml:space="preserve">i3-12100/CPU Cooler/B660/Корпус Mini Tower/БП 450 </w:t>
      </w:r>
      <w:r>
        <w:rPr>
          <w:rStyle w:val="CharStyle14"/>
        </w:rPr>
        <w:t xml:space="preserve">Вт/ОЗУ </w:t>
      </w:r>
      <w:r>
        <w:rPr>
          <w:rStyle w:val="CharStyle14"/>
          <w:lang w:val="en-US" w:eastAsia="en-US"/>
        </w:rPr>
        <w:t xml:space="preserve">DDR 16Gb/SSD 512GB/Клавиатура </w:t>
      </w:r>
      <w:r>
        <w:rPr>
          <w:rStyle w:val="CharStyle14"/>
        </w:rPr>
        <w:t xml:space="preserve">и мышь </w:t>
      </w:r>
      <w:r>
        <w:rPr>
          <w:rStyle w:val="CharStyle14"/>
          <w:lang w:val="en-US" w:eastAsia="en-US"/>
        </w:rPr>
        <w:t xml:space="preserve">USB </w:t>
      </w:r>
      <w:r>
        <w:rPr>
          <w:rStyle w:val="CharStyle14"/>
        </w:rPr>
        <w:t xml:space="preserve">черная/монитор </w:t>
      </w:r>
      <w:r>
        <w:rPr>
          <w:rStyle w:val="CharStyle14"/>
          <w:lang w:val="en-US" w:eastAsia="en-US"/>
        </w:rPr>
        <w:t>27 ViewRay 2714IFH 1972\3\2023 10431145;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6" w:val="left"/>
        </w:tabs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АРМ </w:t>
      </w:r>
      <w:r>
        <w:rPr>
          <w:rStyle w:val="CharStyle14"/>
          <w:lang w:val="en-US" w:eastAsia="en-US"/>
        </w:rPr>
        <w:t xml:space="preserve">RDW Optimal 23GA-05 i3-12100/CPU Cooler/В660/Корпус Mini Tower/БП 450 </w:t>
      </w:r>
      <w:r>
        <w:rPr>
          <w:rStyle w:val="CharStyle14"/>
        </w:rPr>
        <w:t xml:space="preserve">Вт/ОЗУ </w:t>
      </w:r>
      <w:r>
        <w:rPr>
          <w:rStyle w:val="CharStyle14"/>
          <w:lang w:val="en-US" w:eastAsia="en-US"/>
        </w:rPr>
        <w:t xml:space="preserve">DDR5 16Gb/SSD 512Gb/Клавиатура </w:t>
      </w:r>
      <w:r>
        <w:rPr>
          <w:rStyle w:val="CharStyle14"/>
        </w:rPr>
        <w:t xml:space="preserve">и мышь </w:t>
      </w:r>
      <w:r>
        <w:rPr>
          <w:rStyle w:val="CharStyle14"/>
          <w:lang w:val="en-US" w:eastAsia="en-US"/>
        </w:rPr>
        <w:t xml:space="preserve">USB/ </w:t>
      </w:r>
      <w:r>
        <w:rPr>
          <w:rStyle w:val="CharStyle14"/>
        </w:rPr>
        <w:t xml:space="preserve">монитор </w:t>
      </w:r>
      <w:r>
        <w:rPr>
          <w:rStyle w:val="CharStyle14"/>
          <w:lang w:val="en-US" w:eastAsia="en-US"/>
        </w:rPr>
        <w:t>27 2346\1\2023 10445748;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6" w:val="left"/>
        </w:tabs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ПЭВМ </w:t>
      </w:r>
      <w:r>
        <w:rPr>
          <w:rStyle w:val="CharStyle14"/>
          <w:lang w:val="en-US" w:eastAsia="en-US"/>
        </w:rPr>
        <w:t xml:space="preserve">SafeRay S102 G6R </w:t>
      </w:r>
      <w:r>
        <w:rPr>
          <w:rStyle w:val="CharStyle14"/>
        </w:rPr>
        <w:t xml:space="preserve">реестровый номер </w:t>
      </w:r>
      <w:r>
        <w:rPr>
          <w:rStyle w:val="CharStyle14"/>
          <w:lang w:val="en-US" w:eastAsia="en-US"/>
        </w:rPr>
        <w:t xml:space="preserve">10644071 </w:t>
      </w:r>
      <w:r>
        <w:rPr>
          <w:rStyle w:val="CharStyle14"/>
        </w:rPr>
        <w:t xml:space="preserve">в составе: Процессор </w:t>
      </w:r>
      <w:r>
        <w:rPr>
          <w:rStyle w:val="CharStyle14"/>
          <w:lang w:val="en-US" w:eastAsia="en-US"/>
        </w:rPr>
        <w:t xml:space="preserve">Intel Core i3 12100/CPU Cooler/B660/Корпус Mini Tower/БП 450 </w:t>
      </w:r>
      <w:r>
        <w:rPr>
          <w:rStyle w:val="CharStyle14"/>
        </w:rPr>
        <w:t xml:space="preserve">Вт/ОЗУ </w:t>
      </w:r>
      <w:r>
        <w:rPr>
          <w:rStyle w:val="CharStyle14"/>
          <w:lang w:val="en-US" w:eastAsia="en-US"/>
        </w:rPr>
        <w:t xml:space="preserve">DDR5 16Gb/SSD 512Gb/Клавиатура </w:t>
      </w:r>
      <w:r>
        <w:rPr>
          <w:rStyle w:val="CharStyle14"/>
        </w:rPr>
        <w:t xml:space="preserve">и мышь </w:t>
      </w:r>
      <w:r>
        <w:rPr>
          <w:rStyle w:val="CharStyle14"/>
          <w:lang w:val="en-US" w:eastAsia="en-US"/>
        </w:rPr>
        <w:t xml:space="preserve">USB </w:t>
      </w:r>
      <w:r>
        <w:rPr>
          <w:rStyle w:val="CharStyle14"/>
        </w:rPr>
        <w:t xml:space="preserve">черная/монитор </w:t>
      </w:r>
      <w:r>
        <w:rPr>
          <w:rStyle w:val="CharStyle14"/>
          <w:lang w:val="en-US" w:eastAsia="en-US"/>
        </w:rPr>
        <w:t>27 ViewRay 2714IFH.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Также Заказчиком были получены ответы от следующих производителей АРМ о соответствии их товаров требованиям описания объекта закупки Заказчика: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91" w:val="left"/>
        </w:tabs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ООО «АйСиЭл Техно» о соответствии ПЭВМ </w:t>
      </w:r>
      <w:r>
        <w:rPr>
          <w:rStyle w:val="CharStyle14"/>
          <w:lang w:val="en-US" w:eastAsia="en-US"/>
        </w:rPr>
        <w:t xml:space="preserve">SafeRay S102 G6R </w:t>
      </w:r>
      <w:r>
        <w:rPr>
          <w:rStyle w:val="CharStyle14"/>
        </w:rPr>
        <w:t xml:space="preserve">реестровый номер </w:t>
      </w:r>
      <w:r>
        <w:rPr>
          <w:rStyle w:val="CharStyle14"/>
          <w:lang w:val="en-US" w:eastAsia="en-US"/>
        </w:rPr>
        <w:t>10644073;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1" w:val="left"/>
        </w:tabs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АО «РИКОР ЭЛЕКТРОНИКС» о соответствии АРМ </w:t>
      </w:r>
      <w:r>
        <w:rPr>
          <w:rStyle w:val="CharStyle14"/>
          <w:lang w:val="en-US" w:eastAsia="en-US"/>
        </w:rPr>
        <w:t xml:space="preserve">Rikor </w:t>
      </w:r>
      <w:r>
        <w:rPr>
          <w:rStyle w:val="CharStyle14"/>
        </w:rPr>
        <w:t xml:space="preserve">на базе ПЭВМ </w:t>
      </w:r>
      <w:r>
        <w:rPr>
          <w:rStyle w:val="CharStyle14"/>
          <w:lang w:val="en-US" w:eastAsia="en-US"/>
        </w:rPr>
        <w:t xml:space="preserve">Rikor </w:t>
      </w:r>
      <w:r>
        <w:rPr>
          <w:rStyle w:val="CharStyle14"/>
        </w:rPr>
        <w:t xml:space="preserve">серии </w:t>
      </w:r>
      <w:r>
        <w:rPr>
          <w:rStyle w:val="CharStyle14"/>
          <w:lang w:val="en-US" w:eastAsia="en-US"/>
        </w:rPr>
        <w:t xml:space="preserve">RPC </w:t>
      </w:r>
      <w:r>
        <w:rPr>
          <w:rStyle w:val="CharStyle14"/>
        </w:rPr>
        <w:t xml:space="preserve">модели </w:t>
      </w:r>
      <w:r>
        <w:rPr>
          <w:rStyle w:val="CharStyle14"/>
          <w:lang w:val="en-US" w:eastAsia="en-US"/>
        </w:rPr>
        <w:t xml:space="preserve">USFF 101/02 032 </w:t>
      </w:r>
      <w:r>
        <w:rPr>
          <w:rStyle w:val="CharStyle14"/>
        </w:rPr>
        <w:t xml:space="preserve">(КДБА.466219.023) реестровый номер </w:t>
      </w:r>
      <w:r>
        <w:rPr>
          <w:rStyle w:val="CharStyle14"/>
          <w:lang w:val="en-US" w:eastAsia="en-US"/>
        </w:rPr>
        <w:t>10621429;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91" w:val="left"/>
        </w:tabs>
        <w:bidi w:val="0"/>
        <w:spacing w:before="0" w:after="0"/>
        <w:ind w:left="0" w:right="0" w:firstLine="600"/>
        <w:jc w:val="both"/>
      </w:pPr>
      <w:r>
        <w:rPr>
          <w:rStyle w:val="CharStyle14"/>
        </w:rPr>
        <w:t>ООО «Картас» о соответствии продукции производимой данной компанией.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Из доводов жалобы также следует, что описанию объекта закупки соответствует ещё АРМ производителя ООО «АРБАЙТ»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персональный компьютер </w:t>
      </w:r>
      <w:r>
        <w:rPr>
          <w:rStyle w:val="CharStyle14"/>
          <w:lang w:val="en-US" w:eastAsia="en-US"/>
        </w:rPr>
        <w:t>ARBYTE®QUINT®.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В соответствии с протоколом подачи ценовых предложений от </w:t>
      </w:r>
      <w:r>
        <w:rPr>
          <w:rStyle w:val="CharStyle14"/>
          <w:lang w:val="en-US" w:eastAsia="en-US"/>
        </w:rPr>
        <w:t xml:space="preserve">18.08.2025 </w:t>
      </w:r>
      <w:r>
        <w:rPr>
          <w:rStyle w:val="CharStyle14"/>
        </w:rPr>
        <w:t xml:space="preserve">№ЦПА1, протоколом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19.08.2025 </w:t>
      </w:r>
      <w:r>
        <w:rPr>
          <w:rStyle w:val="CharStyle14"/>
        </w:rPr>
        <w:t xml:space="preserve">№ИЭА1, на участие в Аукционе поступило две заявки с идентификационными номерами: </w:t>
      </w:r>
      <w:r>
        <w:rPr>
          <w:rStyle w:val="CharStyle14"/>
          <w:lang w:val="en-US" w:eastAsia="en-US"/>
        </w:rPr>
        <w:t xml:space="preserve">119450127, 119452327, </w:t>
      </w:r>
      <w:r>
        <w:rPr>
          <w:rStyle w:val="CharStyle14"/>
        </w:rPr>
        <w:t xml:space="preserve">обе признаны соответствующими, снижение на торгах составило </w:t>
      </w:r>
      <w:r>
        <w:rPr>
          <w:rStyle w:val="CharStyle14"/>
          <w:lang w:val="en-US" w:eastAsia="en-US"/>
        </w:rPr>
        <w:t>3,50%.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 xml:space="preserve">Комиссией установлено, что в указанных заявках были предложены товары с разными товарными знаками: </w:t>
      </w:r>
      <w:r>
        <w:rPr>
          <w:rStyle w:val="CharStyle14"/>
          <w:lang w:val="en-US" w:eastAsia="en-US"/>
        </w:rPr>
        <w:t xml:space="preserve">«KCG» </w:t>
      </w:r>
      <w:r>
        <w:rPr>
          <w:rStyle w:val="CharStyle14"/>
        </w:rPr>
        <w:t xml:space="preserve">(реестровый номер </w:t>
      </w:r>
      <w:r>
        <w:rPr>
          <w:rStyle w:val="CharStyle14"/>
          <w:lang w:val="en-US" w:eastAsia="en-US"/>
        </w:rPr>
        <w:t xml:space="preserve">10522125), «ICL» </w:t>
      </w:r>
      <w:r>
        <w:rPr>
          <w:rStyle w:val="CharStyle14"/>
        </w:rPr>
        <w:t xml:space="preserve">(реестровый номер </w:t>
      </w:r>
      <w:r>
        <w:rPr>
          <w:rStyle w:val="CharStyle14"/>
          <w:lang w:val="en-US" w:eastAsia="en-US"/>
        </w:rPr>
        <w:t>10644073).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Комиссия отмечает, что Заявитель ни в одном из заседаний Комиссии не участвовал, в жалобе отсутствуют доказательства, свидетельствующие о том, что описанию объекта закупки соответствует товар одного производителя, при этом обязанность доказывания своих нарушенных прав и законных интересов возлагается на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600"/>
        <w:jc w:val="both"/>
      </w:pPr>
      <w:r>
        <w:rPr>
          <w:rStyle w:val="CharStyle14"/>
        </w:rPr>
        <w:t>При изложенных обстоятельствах, принимая во внимание представленные Заказчиком материалы, заявки, поданные на участие в Аукционе, в которых содержится информация о двух товарных знаках, Комиссия приходит к выводу, что в действиях Заказчика при формировании описания объекта закупки отсутствуют нарушения требований Закона о контрактной системе. Довод жалобы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600"/>
        <w:jc w:val="both"/>
      </w:pPr>
      <w:r>
        <w:rPr>
          <w:rStyle w:val="CharStyle14"/>
        </w:rPr>
        <w:t xml:space="preserve">В связи с изложенным, руководствуясь частями </w:t>
      </w:r>
      <w:r>
        <w:rPr>
          <w:rStyle w:val="CharStyle14"/>
          <w:lang w:val="en-US" w:eastAsia="en-US"/>
        </w:rPr>
        <w:t xml:space="preserve">1, 4, 7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105,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76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3" w:right="403" w:bottom="1197" w:left="816" w:header="0" w:footer="3" w:gutter="0"/>
          <w:cols w:space="720"/>
          <w:noEndnote/>
          <w:rtlGutter w:val="0"/>
          <w:docGrid w:linePitch="360"/>
        </w:sectPr>
      </w:pPr>
      <w:bookmarkStart w:id="20" w:name="bookmark20"/>
      <w:r>
        <w:rPr>
          <w:rStyle w:val="CharStyle16"/>
          <w:b/>
          <w:bCs/>
        </w:rPr>
        <w:t>РЕШИЛА:</w:t>
      </w:r>
      <w:bookmarkEnd w:id="2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rStyle w:val="CharStyle14"/>
        </w:rPr>
        <w:t>Признать жалобу ООО «СОЛИНГ» необоснованной.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55600" distB="3714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355600</wp:posOffset>
                </wp:positionV>
                <wp:extent cx="1569720" cy="2197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8.pt;width:123.60000000000001pt;height:17.300000000000001pt;z-index:-125829373;mso-wrap-distance-left:0;mso-wrap-distance-top:2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2910" distB="0" distL="0" distR="1786255" simplePos="0" relativeHeight="125829382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422910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831215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65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514350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5pt;margin-top:4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371475" distL="0" distR="0" simplePos="0" relativeHeight="125829383" behindDoc="0" locked="0" layoutInCell="1" allowOverlap="1">
                <wp:simplePos x="0" y="0"/>
                <wp:positionH relativeFrom="page">
                  <wp:posOffset>6289675</wp:posOffset>
                </wp:positionH>
                <wp:positionV relativeFrom="paragraph">
                  <wp:posOffset>355600</wp:posOffset>
                </wp:positionV>
                <wp:extent cx="902335" cy="2197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5.25pt;margin-top:28.pt;width:71.049999999999997pt;height:17.300000000000001pt;z-index:-125829370;mso-wrap-distance-left:0;mso-wrap-distance-top:2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28955" distB="0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528955</wp:posOffset>
                </wp:positionV>
                <wp:extent cx="1155065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0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41.649999999999999pt;width:90.950000000000003pt;height:17.050000000000001pt;z-index:-125829368;mso-wrap-distance-left:0;mso-wrap-distance-top:41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408940" distL="0" distR="0" simplePos="0" relativeHeight="125829387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38100</wp:posOffset>
                </wp:positionV>
                <wp:extent cx="2216150" cy="2984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615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7"/>
                                <w:color w:val="000000"/>
                              </w:rPr>
                              <w:t>Иванова Наталия Сергеевна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7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7"/>
                                <w:lang w:val="en-US" w:eastAsia="en-US"/>
                              </w:rPr>
                              <w:t>00CC85071B8D43C07E0B9D1A153C0357A</w:t>
                            </w:r>
                            <w:r>
                              <w:rPr>
                                <w:rStyle w:val="CharStyle27"/>
                                <w:lang w:val="en-US" w:eastAsia="en-US"/>
                              </w:rPr>
                              <w:t>B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 xml:space="preserve">Действителен с 09.09.2024 </w:t>
                            </w:r>
                            <w:r>
                              <w:rPr>
                                <w:rStyle w:val="CharStyle27"/>
                                <w:color w:val="585858"/>
                              </w:rPr>
                              <w:t>по 03.12.2025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10.09999999999999pt;margin-top:3.pt;width:174.5pt;height:23.5pt;z-index:-125829366;mso-wrap-distance-left:0;mso-wrap-distance-top:3.pt;mso-wrap-distance-right:0;mso-wrap-distance-bottom:32.200000000000003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 xml:space="preserve">Кому выдан: </w:t>
                      </w:r>
                      <w:r>
                        <w:rPr>
                          <w:rStyle w:val="CharStyle27"/>
                          <w:color w:val="000000"/>
                        </w:rPr>
                        <w:t>Иванова Наталия Сергеевна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 xml:space="preserve">Сертификат </w:t>
                      </w:r>
                      <w:r>
                        <w:rPr>
                          <w:rStyle w:val="CharStyle27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7"/>
                          <w:lang w:val="en-US" w:eastAsia="en-US"/>
                        </w:rPr>
                        <w:t>00CC85071B8D43C07E0B9D1A153C0357A</w:t>
                      </w:r>
                      <w:r>
                        <w:rPr>
                          <w:rStyle w:val="CharStyle27"/>
                          <w:lang w:val="en-US" w:eastAsia="en-US"/>
                        </w:rPr>
                        <w:t>B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 xml:space="preserve">Действителен с 09.09.2024 </w:t>
                      </w:r>
                      <w:r>
                        <w:rPr>
                          <w:rStyle w:val="CharStyle27"/>
                          <w:color w:val="585858"/>
                        </w:rPr>
                        <w:t>по 03.12.2025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120015" distB="0" distL="0" distR="1816735" simplePos="0" relativeHeight="125829389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120015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180975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4.2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222250" distL="0" distR="0" simplePos="0" relativeHeight="125829390" behindDoc="0" locked="0" layoutInCell="1" allowOverlap="1">
                <wp:simplePos x="0" y="0"/>
                <wp:positionH relativeFrom="page">
                  <wp:posOffset>6271260</wp:posOffset>
                </wp:positionH>
                <wp:positionV relativeFrom="paragraph">
                  <wp:posOffset>25400</wp:posOffset>
                </wp:positionV>
                <wp:extent cx="914400" cy="21653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О.И. Филатов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3.80000000000001pt;margin-top:2.pt;width:72.pt;height:17.050000000000001pt;z-index:-125829363;mso-wrap-distance-left:0;mso-wrap-distance-top:2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О.И. Филатов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356235" distL="0" distR="0" simplePos="0" relativeHeight="12582939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25400</wp:posOffset>
                </wp:positionV>
                <wp:extent cx="1283335" cy="977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2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40000000000001pt;margin-top:2.pt;width:101.05pt;height:7.7000000000000002pt;z-index:-125829361;mso-wrap-distance-left:0;mso-wrap-distance-top: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2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0975" distB="0" distL="0" distR="0" simplePos="0" relativeHeight="125829394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180975</wp:posOffset>
                </wp:positionV>
                <wp:extent cx="2191385" cy="2984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7"/>
                                <w:color w:val="000000"/>
                              </w:rPr>
                              <w:t>Филатов Олег Игоревич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7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7"/>
                                <w:lang w:val="en-US" w:eastAsia="en-US"/>
                              </w:rPr>
                              <w:t>00D934723516D2846B0705EBED9EFE2F85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 xml:space="preserve">Действителен с 31.03.2025 </w:t>
                            </w:r>
                            <w:r>
                              <w:rPr>
                                <w:rStyle w:val="CharStyle27"/>
                                <w:color w:val="585858"/>
                              </w:rPr>
                              <w:t xml:space="preserve">по </w:t>
                            </w:r>
                            <w:r>
                              <w:rPr>
                                <w:rStyle w:val="CharStyle27"/>
                              </w:rPr>
                              <w:t>24.06.2026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10.09999999999999pt;margin-top:14.25pt;width:172.55000000000001pt;height:23.5pt;z-index:-125829359;mso-wrap-distance-left:0;mso-wrap-distance-top:14.25pt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 xml:space="preserve">Кому выдан: </w:t>
                      </w:r>
                      <w:r>
                        <w:rPr>
                          <w:rStyle w:val="CharStyle27"/>
                          <w:color w:val="000000"/>
                        </w:rPr>
                        <w:t>Филатов Олег Игоревич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 xml:space="preserve">Сертификат </w:t>
                      </w:r>
                      <w:r>
                        <w:rPr>
                          <w:rStyle w:val="CharStyle27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7"/>
                          <w:lang w:val="en-US" w:eastAsia="en-US"/>
                        </w:rPr>
                        <w:t>00D934723516D2846B0705EBED9EFE2F85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 xml:space="preserve">Действителен с 31.03.2025 </w:t>
                      </w:r>
                      <w:r>
                        <w:rPr>
                          <w:rStyle w:val="CharStyle27"/>
                          <w:color w:val="585858"/>
                        </w:rPr>
                        <w:t xml:space="preserve">по </w:t>
                      </w:r>
                      <w:r>
                        <w:rPr>
                          <w:rStyle w:val="CharStyle27"/>
                        </w:rPr>
                        <w:t>24.06.2026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26" w:right="402" w:bottom="7336" w:left="818" w:header="0" w:footer="3" w:gutter="0"/>
          <w:cols w:space="720"/>
          <w:noEndnote/>
          <w:rtlGutter w:val="0"/>
          <w:docGrid w:linePitch="360"/>
        </w:sectPr>
      </w:pPr>
      <w:r>
        <w:drawing>
          <wp:anchor distT="260350" distB="635" distL="0" distR="1786255" simplePos="0" relativeHeight="12582939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260350</wp:posOffset>
            </wp:positionV>
            <wp:extent cx="359410" cy="39624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345440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2.25pt;margin-top:27.1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247015" distL="0" distR="0" simplePos="0" relativeHeight="125829397" behindDoc="0" locked="0" layoutInCell="1" allowOverlap="1">
                <wp:simplePos x="0" y="0"/>
                <wp:positionH relativeFrom="page">
                  <wp:posOffset>6149340</wp:posOffset>
                </wp:positionH>
                <wp:positionV relativeFrom="paragraph">
                  <wp:posOffset>190500</wp:posOffset>
                </wp:positionV>
                <wp:extent cx="1039495" cy="21653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О.И. Аркадьева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84.19999999999999pt;margin-top:15.pt;width:81.850000000000009pt;height:17.050000000000001pt;z-index:-125829356;mso-wrap-distance-left:0;mso-wrap-distance-top:15.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О.И. Аркадьева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Аркадьева Ольга Ивановна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00BE89C7858626F327264465AC5532E0DB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3100" w:right="0" w:firstLine="0"/>
        <w:jc w:val="left"/>
      </w:pPr>
      <w:r>
        <w:rPr>
          <w:rStyle w:val="CharStyle27"/>
        </w:rPr>
        <w:t xml:space="preserve">Действителен с 02.07.2025 </w:t>
      </w:r>
      <w:r>
        <w:rPr>
          <w:rStyle w:val="CharStyle27"/>
          <w:color w:val="585858"/>
        </w:rPr>
        <w:t xml:space="preserve">по </w:t>
      </w:r>
      <w:r>
        <w:rPr>
          <w:rStyle w:val="CharStyle27"/>
        </w:rPr>
        <w:t>25.09.2026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80"/>
        <w:jc w:val="both"/>
      </w:pPr>
      <w:r>
        <w:rPr>
          <w:rStyle w:val="CharStyle14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6" w:right="556" w:bottom="1426" w:left="111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10010140</wp:posOffset>
              </wp:positionV>
              <wp:extent cx="326136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136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2025-5394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149999999999999pt;margin-top:788.20000000000005pt;width:256.80000000000001pt;height:10.1pt;z-index:-1887440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2025-5394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2025-5394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8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2025-5394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en-US" w:eastAsia="en-US"/>
    </w:rPr>
  </w:style>
  <w:style w:type="character" w:customStyle="1" w:styleId="CharStyle21">
    <w:name w:val="Other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2">
    <w:name w:val="Body text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6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spacing w:after="140" w:line="257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40"/>
      <w:ind w:firstLine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en-US" w:eastAsia="en-US"/>
    </w:rPr>
  </w:style>
  <w:style w:type="paragraph" w:customStyle="1" w:styleId="Style20">
    <w:name w:val="Other"/>
    <w:basedOn w:val="Normal"/>
    <w:link w:val="CharStyle21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  <w:spacing w:after="5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