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802005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01.09.2025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35086/25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149999999999999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01.09.2025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35086/25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50800" distR="50800" simplePos="0" relativeHeight="125829381" behindDoc="0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4358640</wp:posOffset>
                </wp:positionV>
                <wp:extent cx="1212850" cy="42037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lang w:val="en-US" w:eastAsia="en-US"/>
                              </w:rPr>
                              <w:t>27.08.2025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68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200000000000003pt;margin-top:343.19999999999999pt;width:95.5pt;height:33.100000000000001pt;z-index:-125829372;mso-wrap-distance-left:4.pt;mso-wrap-distance-right:4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lang w:val="en-US" w:eastAsia="en-US"/>
                        </w:rPr>
                        <w:t>27.08.2025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680"/>
                        <w:jc w:val="left"/>
                      </w:pPr>
                      <w:r>
                        <w:rPr>
                          <w:rStyle w:val="CharStyle7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ГБУ «ФХУ»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"mailto:zakupkifhu@mos.ru" </w:instrText>
      </w:r>
      <w:r>
        <w:fldChar w:fldCharType="separate"/>
      </w:r>
      <w:r>
        <w:rPr>
          <w:rStyle w:val="CharStyle7"/>
          <w:lang w:val="en-US" w:eastAsia="en-US"/>
        </w:rPr>
        <w:t>zakupkifhu@mos.ru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ООО «Дельта»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60" w:line="240" w:lineRule="auto"/>
        <w:ind w:left="1140" w:right="0" w:firstLine="0"/>
        <w:jc w:val="both"/>
      </w:pPr>
      <w:r>
        <w:fldChar w:fldCharType="begin"/>
      </w:r>
      <w:r>
        <w:rPr/>
        <w:instrText> HYPERLINK "mailto:nor918884@gmail.com" </w:instrText>
      </w:r>
      <w:r>
        <w:fldChar w:fldCharType="separate"/>
      </w:r>
      <w:r>
        <w:rPr>
          <w:rStyle w:val="CharStyle7"/>
          <w:lang w:val="en-US" w:eastAsia="en-US"/>
        </w:rPr>
        <w:t>nor918884@gmail.com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077/06/106-10861/2025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right"/>
      </w:pP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по контролю в сфере закупок товаров, работ, услуг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О.А. Челнова,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при участии представителя: ГБУ «ФХУ»: Новикова В.И. (дов.№07-01-09-61/25 от </w:t>
      </w:r>
      <w:r>
        <w:rPr>
          <w:rStyle w:val="CharStyle7"/>
          <w:lang w:val="en-US" w:eastAsia="en-US"/>
        </w:rPr>
        <w:t>10.01.2025),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отсутствие представителей ООО «Дельта»,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00"/>
        <w:jc w:val="both"/>
      </w:pPr>
      <w:r>
        <w:rPr>
          <w:rStyle w:val="CharStyle7"/>
        </w:rPr>
        <w:t xml:space="preserve">рассмотрев жалобу ООО «Дельта»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 «ФХУ»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оказание услуг по комплексному техническому обслуживанию газовых котельных, сетей газораспределения и газопотребления и комплекса для измерения количества газа (Закупка </w:t>
      </w:r>
      <w:r>
        <w:rPr>
          <w:rStyle w:val="CharStyle7"/>
          <w:lang w:val="en-US" w:eastAsia="en-US"/>
        </w:rPr>
        <w:t xml:space="preserve">№ 0373200558325000043)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аукцион) в соответствии с Федеральным законом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ст.31 Закона о контрактной системе,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Вместе с этим пп.«а» п.1 постановления Правительства РФ от </w:t>
      </w:r>
      <w:r>
        <w:rPr>
          <w:rStyle w:val="CharStyle7"/>
          <w:lang w:val="en-US" w:eastAsia="en-US"/>
        </w:rPr>
        <w:t xml:space="preserve">29.12.2021 №2571 </w:t>
      </w:r>
      <w:r>
        <w:rPr>
          <w:rStyle w:val="CharStyle7"/>
        </w:rPr>
        <w:t xml:space="preserve"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№2571) </w:t>
      </w:r>
      <w:r>
        <w:rPr>
          <w:rStyle w:val="CharStyle7"/>
        </w:rPr>
        <w:t xml:space="preserve">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услуг, участникам отдельных видов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Приложение).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пп.«а» п.3 Постановления </w:t>
      </w:r>
      <w:r>
        <w:rPr>
          <w:rStyle w:val="CharStyle7"/>
          <w:lang w:val="en-US" w:eastAsia="en-US"/>
        </w:rPr>
        <w:t xml:space="preserve">№2571 </w:t>
      </w:r>
      <w:r>
        <w:rPr>
          <w:rStyle w:val="CharStyle7"/>
        </w:rPr>
        <w:t xml:space="preserve">положения Постановления </w:t>
      </w:r>
      <w:r>
        <w:rPr>
          <w:rStyle w:val="CharStyle7"/>
          <w:lang w:val="en-US" w:eastAsia="en-US"/>
        </w:rPr>
        <w:t xml:space="preserve">№2571 </w:t>
      </w:r>
      <w:r>
        <w:rPr>
          <w:rStyle w:val="CharStyle7"/>
        </w:rPr>
        <w:t>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34" w:val="left"/>
        </w:tabs>
        <w:bidi w:val="0"/>
        <w:spacing w:before="0" w:after="280"/>
        <w:ind w:left="0" w:right="0" w:firstLine="70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42" w:bottom="1133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>позиция Приложения применяется с учетом положений п.3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Постановления </w:t>
      </w:r>
      <w:r>
        <w:rPr>
          <w:rStyle w:val="CharStyle7"/>
          <w:lang w:val="en-US" w:eastAsia="en-US"/>
        </w:rPr>
        <w:t xml:space="preserve">№2571 </w:t>
      </w:r>
      <w:r>
        <w:rPr>
          <w:rStyle w:val="CharStyle7"/>
        </w:rPr>
        <w:t>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 вне зависимости от сферы осуществления деятельности заказчика;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позиции </w:t>
      </w:r>
      <w:r>
        <w:rPr>
          <w:rStyle w:val="CharStyle7"/>
          <w:lang w:val="en-US" w:eastAsia="en-US"/>
        </w:rPr>
        <w:t xml:space="preserve">14, 15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36 </w:t>
      </w:r>
      <w:r>
        <w:rPr>
          <w:rStyle w:val="CharStyle7"/>
        </w:rPr>
        <w:t xml:space="preserve">приложения применяются в случае, если при осуществлении закупки начальная (максимальная) цена контракта превышает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млн.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п.14 Приложения при проведении закупочной процедуры объектом которой являются работы, услуги по техническому обслуживанию зданий, сооружений к участникам закупочной процедуры предъявляются дополнительные требования о наличие опыта исполнения участником закупки договора, предусматривающего выполнение работ, оказание услуг по техническому обслуживанию зданий, сооружений.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Цена выполненных работ, оказанных услуг по договору должна составлять не менее </w:t>
      </w:r>
      <w:r>
        <w:rPr>
          <w:rStyle w:val="CharStyle7"/>
          <w:lang w:val="en-US" w:eastAsia="en-US"/>
        </w:rPr>
        <w:t xml:space="preserve">20 </w:t>
      </w:r>
      <w:r>
        <w:rPr>
          <w:rStyle w:val="CharStyle7"/>
        </w:rPr>
        <w:t>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п.9 ч.1 ст.42 Закона о контрактной системе извещение об осуществлении закупки должно содержать информацию о начальной (максимальной) цене контракта (цена отдельных этапов исполнения контракта, если проектом контракта предусмотрены такие этапы), источнике финансирования, наименовании валюты в соответствии с общероссийским классификатором валют. В случае,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формула цены и максимальное значение цены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ч.5 ст.31 Закона о контрактной системе информация об установленных требованиях в соответствии с частями </w:t>
      </w:r>
      <w:r>
        <w:rPr>
          <w:rStyle w:val="CharStyle7"/>
          <w:lang w:val="en-US" w:eastAsia="en-US"/>
        </w:rPr>
        <w:t xml:space="preserve">1, 1.1, 2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ст.31 Закона о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Согласно п.12 ч.1 ст.42 Закона о контрактной системе извещение об </w:t>
      </w:r>
      <w:r>
        <w:rPr>
          <w:rStyle w:val="CharStyle7"/>
          <w:sz w:val="24"/>
          <w:szCs w:val="24"/>
          <w:lang w:val="en-US" w:eastAsia="en-US"/>
        </w:rPr>
        <w:t>2025-39671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осуществлении закупки,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согласно извещению об осуществлении закупки, объектом закупочной процедуры является оказание услуг по комплексному техническому обслуживанию газовых котельных, сетей газораспределения и газопотребления и комплекса для измерения количества газа, начальная (максимальная) цена контракта составляет </w:t>
      </w:r>
      <w:r>
        <w:rPr>
          <w:rStyle w:val="CharStyle7"/>
          <w:lang w:val="en-US" w:eastAsia="en-US"/>
        </w:rPr>
        <w:t xml:space="preserve">11 262 831,20 </w:t>
      </w:r>
      <w:r>
        <w:rPr>
          <w:rStyle w:val="CharStyle7"/>
        </w:rPr>
        <w:t>руб., при этом в составе извещения Заказчиком установлены дополнительные требования к участникам закупки в соответствии с п.14 Приложения.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Исходя из вышеизложенного Комиссия Управления приходит к выводу, что участником закупки может являться лишь участник закупки, обладающий опытом исполнения договора, предусматривающего выполнение работ, оказание услуг по техническому обслуживанию зданий, сооружений в рамках которого объем исполненных обязательств участником закупки составлял не менее </w:t>
      </w:r>
      <w:r>
        <w:rPr>
          <w:rStyle w:val="CharStyle7"/>
          <w:lang w:val="en-US" w:eastAsia="en-US"/>
        </w:rPr>
        <w:t xml:space="preserve">20 </w:t>
      </w:r>
      <w:r>
        <w:rPr>
          <w:rStyle w:val="CharStyle7"/>
        </w:rPr>
        <w:t>процентов начальной (максимальной) цены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Вместе с этим, в силу ч.1 ст.105 Закона о контрактной системе при проведении конкурентных способов, при осуществлении закупки, осуществляемой в соответствии с ч.12 ст.93 Закона о контрактной системе,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(бездействия) субъекта (субъектов) контроля в порядке, установленном настоящей главой, не является препятствием для обжалования таких действий (бездействия) в судебном порядке.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что, согласно Закону о контрактной системе, условием для подачи жалобы является наличие у участника закупки прав и законных интересов, которые при осуществлении закупки нарушены действиями (бездействием) субъекта контроля, при этом права и законные интересы участника закупки не соответствующего дополнительным требованиям, установленным Заказчиком в составе извещения, не могут быть нарушены действиями (бездействием) субъекта контроля при осуществлении закупки, так как такой участник закупки не может являться участником обжалуемой конкурентной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Аналогичная правовая позиция изложена в письме ФАС России от </w:t>
      </w:r>
      <w:r>
        <w:rPr>
          <w:rStyle w:val="CharStyle7"/>
          <w:lang w:val="en-US" w:eastAsia="en-US"/>
        </w:rPr>
        <w:t xml:space="preserve">29.12.2023 </w:t>
      </w:r>
      <w:r>
        <w:rPr>
          <w:rStyle w:val="CharStyle7"/>
        </w:rPr>
        <w:t>№МШ/112518/23 «Разъяснения по вопросам принятия жалоб к рассмотрению».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0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38" w:right="540" w:bottom="620" w:left="1103" w:header="0" w:footer="192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Вместе с этим на заседании Комиссии Управления, посредством </w:t>
      </w:r>
      <w:r>
        <w:rPr>
          <w:rStyle w:val="CharStyle7"/>
          <w:sz w:val="24"/>
          <w:szCs w:val="24"/>
          <w:lang w:val="en-US" w:eastAsia="en-US"/>
        </w:rPr>
        <w:t>2025-39671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ГИС «Независимый регистратор», установлено, что Заявитель в реестре участников закупки, аккредитованных на электронной площадке, не имеет документов и информации по позиции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раздела </w:t>
      </w:r>
      <w:r>
        <w:rPr>
          <w:rStyle w:val="CharStyle7"/>
          <w:lang w:val="en-US" w:eastAsia="en-US"/>
        </w:rPr>
        <w:t xml:space="preserve">II </w:t>
      </w:r>
      <w:r>
        <w:rPr>
          <w:rStyle w:val="CharStyle7"/>
        </w:rPr>
        <w:t xml:space="preserve">приложения к ПП РФ от </w:t>
      </w:r>
      <w:r>
        <w:rPr>
          <w:rStyle w:val="CharStyle7"/>
          <w:lang w:val="en-US" w:eastAsia="en-US"/>
        </w:rPr>
        <w:t>29.12.2021 № 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Исходя из вышеизложенного Комиссия Управления приходит к выводу, что ООО «Дельта» не может являться участником обжалуемой конкурентной процедуры, в связи с чем права и законные интересы Заявителя не могут быть нарушены действиями (бездействием) субъекта контроля при осуществлении данной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выводу, что жалоба ООО «Дельта» (реестровый номер жалобы </w:t>
      </w:r>
      <w:r>
        <w:rPr>
          <w:rStyle w:val="CharStyle7"/>
          <w:lang w:val="en-US" w:eastAsia="en-US"/>
        </w:rPr>
        <w:t xml:space="preserve">202500132489012799) </w:t>
      </w:r>
      <w:r>
        <w:rPr>
          <w:rStyle w:val="CharStyle7"/>
        </w:rPr>
        <w:t>не соответствует требованиям ч.1 ст.105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Одновременно с этим в ходе внеплановой проверки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составе жалобы филиал ООО «Дельта» указывал, что Заказчика нарушены положения Закона о контрактной системе в результате установления требования к участнику закупки «Наличие действующей лицензии в соответствии с требованиями пункта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части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04.05.2011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99-ФЗ «О лицензировании отдельных видов деятельности» и Постановлением Российской Федерации от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октября </w:t>
      </w:r>
      <w:r>
        <w:rPr>
          <w:rStyle w:val="CharStyle7"/>
          <w:lang w:val="en-US" w:eastAsia="en-US"/>
        </w:rPr>
        <w:t xml:space="preserve">2020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1661 </w:t>
      </w:r>
      <w:r>
        <w:rPr>
          <w:rStyle w:val="CharStyle7"/>
        </w:rPr>
        <w:t xml:space="preserve">«О лицензировании эксплуатации взрывопожароопасных и химически опасных производственных объектов </w:t>
      </w:r>
      <w:r>
        <w:rPr>
          <w:rStyle w:val="CharStyle7"/>
          <w:lang w:val="en-US" w:eastAsia="en-US"/>
        </w:rPr>
        <w:t xml:space="preserve">I, II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III </w:t>
      </w:r>
      <w:r>
        <w:rPr>
          <w:rStyle w:val="CharStyle7"/>
        </w:rPr>
        <w:t>классов опасности» по видам деятельности: Использование воспламеняющихся, окисляющих, горючих, взрывчатых, токсичных, высокотоксичных веществ и веществ, представляющих опасность для окружающей среды, на объектах».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ходе проведения внеплановой проверки Комиссией Управления проверено соблюдение Заказчиком законодательства о контрактной системе при проведении вышеуказанных аукционов, при этом нарушений по доводам, изложенным в жалобе, не выявлено.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7"/>
          <w:b/>
          <w:bCs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Жалобу ООО «Дельта» оставить без рассмотрения в соответствии с ч.1 ст.105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действиях ГБУ «ФХУ» по доводам, изложенным в жалобе ООО «Дельта», нарушений не выявлено.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1" w:val="left"/>
        </w:tabs>
        <w:bidi w:val="0"/>
        <w:spacing w:before="0" w:after="240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504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3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8087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200000000000003pt;margin-top:10.pt;width:148.09999999999999pt;height:19.900000000000002pt;z-index:-125829370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5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196850</wp:posOffset>
            </wp:positionV>
            <wp:extent cx="359410" cy="40259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80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6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5.25pt;margin-top:10.pt;width:102.95pt;height:19.900000000000002pt;z-index:-125829367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67950889C45403E5BD9EBC88A8D80C0D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0"/>
        </w:rPr>
        <w:t xml:space="preserve">Действителен с 19.05.2025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0000000000003pt;margin-top:36.70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75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2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Матюшенко Александр Александрович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4F595A5C3E5ABB2DD77161F08559FC07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2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0.90000000000003pt;margin-top:36.550000000000004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75pt;margin-top:11.6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О.А. Челнова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Челнова Олеся Антоновна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05605B6072C3BC92D25AFCA81C80B531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3560" w:line="240" w:lineRule="auto"/>
        <w:ind w:right="0" w:firstLine="0"/>
        <w:jc w:val="left"/>
      </w:pPr>
      <w:r>
        <w:rPr>
          <w:rStyle w:val="CharStyle20"/>
        </w:rPr>
        <w:t xml:space="preserve">Действителен с 23.05.2025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16.08.2026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2025-39671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94.70000000000005pt;width:56.64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2025-39671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10214610</wp:posOffset>
              </wp:positionV>
              <wp:extent cx="71945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2025-39671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149999999999999pt;margin-top:804.30000000000007pt;width:56.64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2025-39671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2025-39671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6.64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2025-39671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6731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9999999999999pt;margin-top:37.25pt;width:5.2999999999999998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509270</wp:posOffset>
              </wp:positionV>
              <wp:extent cx="52070" cy="6985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05000000000001pt;margin-top:40.100000000000001pt;width:4.0999999999999996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473075</wp:posOffset>
              </wp:positionV>
              <wp:extent cx="67310" cy="1066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25pt;width:5.2999999999999998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5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5)"/>
    <w:basedOn w:val="Normal"/>
    <w:link w:val="CharStyle18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