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even" r:id="rId8"/>
          <w:footerReference w:type="first" r:id="rId9"/>
          <w:footnotePr>
            <w:pos w:val="pageBottom"/>
            <w:numFmt w:val="decimal"/>
            <w:numRestart w:val="continuous"/>
          </w:footnotePr>
          <w:pgSz w:w="11900" w:h="16840"/>
          <w:pgMar w:top="279" w:right="537" w:bottom="1221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4082415</wp:posOffset>
                </wp:positionH>
                <wp:positionV relativeFrom="paragraph">
                  <wp:posOffset>355600</wp:posOffset>
                </wp:positionV>
                <wp:extent cx="3081655" cy="134747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81655" cy="1347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ГКУ «ЗабГосЗакуп»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Амурская ул., д. 13, г. Чита, 672010</w:t>
                              <w:br/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"mailto:zabgoszakup@goszak.e-zab.ru"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zabgoszakup@goszak.e-zab.ru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ООО "АМЕЛИС"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673732, Забайкальский край, г. Могоча, ул. Крестьянская, д. 25</w:t>
                              <w:br/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"mailto:amelis1963@mail.ru"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amelis1963@mail.ru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ГУЗ "Могочинская ЦРБ"</w:t>
                              <w:br/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"mailto:bol196196@mail.ru"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bol196196@mail.ru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21.44999999999999pt;margin-top:28.pt;width:242.65000000000001pt;height:106.1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ГКУ «ЗабГосЗакуп»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Амурская ул., д. 13, г. Чита, 672010</w:t>
                        <w:br/>
                      </w:r>
                      <w:r>
                        <w:fldChar w:fldCharType="begin"/>
                      </w:r>
                      <w:r>
                        <w:rPr/>
                        <w:instrText> HYPERLINK "mailto:zabgoszakup@goszak.e-zab.ru"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zabgoszakup@goszak.e-zab.ru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ООО "АМЕЛИС"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673732, Забайкальский край, г. Могоча, ул. Крестьянская, д. 25</w:t>
                        <w:br/>
                      </w:r>
                      <w:r>
                        <w:fldChar w:fldCharType="begin"/>
                      </w:r>
                      <w:r>
                        <w:rPr/>
                        <w:instrText> HYPERLINK "mailto:amelis1963@mail.ru"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amelis1963@mail.ru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ГУЗ "Могочинская ЦРБ"</w:t>
                        <w:br/>
                      </w:r>
                      <w:r>
                        <w:fldChar w:fldCharType="begin"/>
                      </w:r>
                      <w:r>
                        <w:rPr/>
                        <w:instrText> HYPERLINK "mailto:bol196196@mail.ru"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bol196196@mail.ru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1380" w:right="0" w:firstLine="0"/>
        <w:jc w:val="both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Федеральной антимонопольной службы</w:t>
        <w:br/>
        <w:t>по Забайкальскому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60"/>
        <w:jc w:val="both"/>
      </w:pPr>
      <w:r>
        <w:rPr>
          <w:rStyle w:val="CharStyle8"/>
        </w:rPr>
        <w:t>ул. Лермонтова, 14, г. Чита, 672076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8"/>
        </w:rPr>
        <w:t>почтовый адрес: а/я 803, г. Чита, 672000</w:t>
        <w:br/>
        <w:t>тел. (3022) 21-70-30, факс (3022) 32-12-31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"mailto:to75@fas.gov.ru" </w:instrText>
      </w:r>
      <w:r>
        <w:fldChar w:fldCharType="separate"/>
      </w:r>
      <w:r>
        <w:rPr>
          <w:rStyle w:val="CharStyle8"/>
          <w:lang w:val="en-US" w:eastAsia="en-US"/>
        </w:rPr>
        <w:t>to75@fas.gov.ru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978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2.09.2025</w:t>
        <w:tab/>
      </w:r>
      <w:r>
        <w:fldChar w:fldCharType="end"/>
      </w:r>
      <w:r>
        <w:rPr>
          <w:rStyle w:val="CharStyle11"/>
        </w:rPr>
        <w:t>№ МГ/3689/25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по рассмотрению жалобы № 075/06/105-446/2025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13"/>
          <w:b/>
          <w:bCs/>
        </w:rPr>
        <w:t>о нарушении законодательства при осуществлении закупки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>28 августа 2025 года г. Чита, ул. Лермонтова, 14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Забайкальского УФАС России, членов комиссии: Осиповой А.О. начальника отдела контроля закупок Забайкальского УФАС России, Китаевой И.С. главного государственного инспектора отдела контроля закупок Забайкальского УФАС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рассмотрев жалобу ООО «Амелис»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– ГУЗ «Могочинская центральная районная больница», уполномоченным учреждением - ГКУ «Забайкальский центр государственных закупок» при проведении аукциона в электронной форме «Капитальный ремонт здания пищеблока Государственного учреждения здравоохранения «Могочинская центральная районная больница» (00008022-ЭА)» (реестровый номер закупки </w:t>
      </w:r>
      <w:r>
        <w:rPr>
          <w:rStyle w:val="CharStyle13"/>
          <w:color w:val="330000"/>
        </w:rPr>
        <w:t>0891200000625007434</w:t>
      </w:r>
      <w:r>
        <w:rPr>
          <w:rStyle w:val="CharStyle13"/>
        </w:rPr>
        <w:t>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>при участии по ВКС представителя заявителя Милехина А.Ю. (доверенность от 25.08.2025); представителя уполномоченного учреждения Шульги Я.О. (доверенность от 12.05.2025), представителей заказчика Салисовой Т.Л. (и.о. главного врача, приказ от 01.08.2025 №96-кл), Мингаловой Ю.А. (доверенность от 09.01.2025), Стремиловой Я.А. (доверенность от 26.08.2025),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21.08.2025 в адрес Забайкальского УФАС России поступила жалоба ООО «Амелис»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заказчиком – ГУЗ «Могочинская ЦРБ» при осуществлении закупки №0891200000625007434.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>Заявителем указано, что в соответствии с позицией плана-графика №252751200023975120100101610004120243 от 08.08.2025 у Заказчика имеется единая потребность в закупке капитального ремонта здания пищеблока ГУЗ «Могочинская ЦРБ» на общую сумму 13 900 000 рублей.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17"/>
        </w:rPr>
        <w:t>1IIIIIIIIIIIIIIIIIIIIIII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Вместо проведения одной закупки для удовлетворения единой потребности, Заказчик разместил пять отдельных извещений о проведении электронных аукционов </w:t>
      </w:r>
      <w:r>
        <w:rPr>
          <w:rStyle w:val="CharStyle13"/>
          <w:lang w:val="en-US" w:eastAsia="en-US"/>
        </w:rPr>
        <w:t xml:space="preserve">(№№ 0891200000625007432, 0891200000625007433, 0891200000625007434, 0891200000625007435, 0891200000625007436), </w:t>
      </w:r>
      <w:r>
        <w:rPr>
          <w:rStyle w:val="CharStyle13"/>
        </w:rPr>
        <w:t xml:space="preserve">каждый из которых предусматривает поставку технологически единых работ. Данные действия Заказчика являются классическим примером искусственного дробления закупки на части с целью занижения НМЦК каждой отдельной закупки и уклонения от установленных законом обязательных требований в соответствии с позицией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 xml:space="preserve">раздела </w:t>
      </w:r>
      <w:r>
        <w:rPr>
          <w:rStyle w:val="CharStyle13"/>
          <w:lang w:val="en-US" w:eastAsia="en-US"/>
        </w:rPr>
        <w:t xml:space="preserve">II </w:t>
      </w:r>
      <w:r>
        <w:rPr>
          <w:rStyle w:val="CharStyle13"/>
        </w:rPr>
        <w:t xml:space="preserve">приложения к ПП РФ от </w:t>
      </w:r>
      <w:r>
        <w:rPr>
          <w:rStyle w:val="CharStyle13"/>
          <w:lang w:val="en-US" w:eastAsia="en-US"/>
        </w:rPr>
        <w:t xml:space="preserve">29.12.2021 №2571 </w:t>
      </w:r>
      <w:r>
        <w:rPr>
          <w:rStyle w:val="CharStyle13"/>
        </w:rPr>
        <w:t>и установления требований по СРО.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>Заявитель просит выдать предписание об аннулировании закупок с целью последующего размещения единой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b/>
          <w:bCs/>
        </w:rPr>
        <w:t xml:space="preserve">Представители заказчика и уполномоченного учреждения с доводами заявителя не согласились, </w:t>
      </w:r>
      <w:r>
        <w:rPr>
          <w:rStyle w:val="CharStyle13"/>
        </w:rPr>
        <w:t xml:space="preserve">жалобу считают необоснованной. Сторонами указано, что лимиты доведены </w:t>
      </w:r>
      <w:r>
        <w:rPr>
          <w:rStyle w:val="CharStyle13"/>
          <w:lang w:val="en-US" w:eastAsia="en-US"/>
        </w:rPr>
        <w:t xml:space="preserve">24.07.2025, </w:t>
      </w:r>
      <w:r>
        <w:rPr>
          <w:rStyle w:val="CharStyle13"/>
        </w:rPr>
        <w:t xml:space="preserve">срок выполнения работ по капитальному ремонту являются сжатым (до </w:t>
      </w:r>
      <w:r>
        <w:rPr>
          <w:rStyle w:val="CharStyle13"/>
          <w:lang w:val="en-US" w:eastAsia="en-US"/>
        </w:rPr>
        <w:t xml:space="preserve">14.11.2025). </w:t>
      </w:r>
      <w:r>
        <w:rPr>
          <w:rStyle w:val="CharStyle13"/>
        </w:rPr>
        <w:t>Поскольку работы, являющиеся объектом закупок, являются разными, принято решение для осуществления нескольких закупок с той целью, чтобы закупки состоялись и несколько подрядчиков одновременно выполняли работы в соответствии с согласованным календарным графиком с соблюдением сроков и очередности их выполнения. Заказчиком указано, что законодательство о контрактной системе не содержит понятия дробления для конкурентных закупок, принципы контрактной системы по обеспечению конкуренции и прозрачности закупок соблюдены.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b/>
          <w:bCs/>
        </w:rPr>
        <w:t xml:space="preserve">В ходе рассмотрения жалобы, комиссией на основании пункта </w:t>
      </w:r>
      <w:r>
        <w:rPr>
          <w:rStyle w:val="CharStyle13"/>
          <w:b/>
          <w:bCs/>
          <w:lang w:val="en-US" w:eastAsia="en-US"/>
        </w:rPr>
        <w:t xml:space="preserve">1 </w:t>
      </w:r>
      <w:r>
        <w:rPr>
          <w:rStyle w:val="CharStyle13"/>
          <w:b/>
          <w:bCs/>
        </w:rPr>
        <w:t xml:space="preserve">части </w:t>
      </w:r>
      <w:r>
        <w:rPr>
          <w:rStyle w:val="CharStyle13"/>
          <w:b/>
          <w:bCs/>
          <w:lang w:val="en-US" w:eastAsia="en-US"/>
        </w:rPr>
        <w:t xml:space="preserve">15 </w:t>
      </w:r>
      <w:r>
        <w:rPr>
          <w:rStyle w:val="CharStyle13"/>
          <w:b/>
          <w:bCs/>
        </w:rPr>
        <w:t xml:space="preserve">статьи </w:t>
      </w:r>
      <w:r>
        <w:rPr>
          <w:rStyle w:val="CharStyle13"/>
          <w:b/>
          <w:bCs/>
          <w:lang w:val="en-US" w:eastAsia="en-US"/>
        </w:rPr>
        <w:t xml:space="preserve">99 </w:t>
      </w:r>
      <w:r>
        <w:rPr>
          <w:rStyle w:val="CharStyle13"/>
          <w:b/>
          <w:bCs/>
        </w:rPr>
        <w:t xml:space="preserve">Закона о контрактной системе проведена внеплановая проверка закупки </w:t>
      </w:r>
      <w:r>
        <w:rPr>
          <w:rStyle w:val="CharStyle13"/>
          <w:b/>
          <w:bCs/>
          <w:lang w:val="en-US" w:eastAsia="en-US"/>
        </w:rPr>
        <w:t xml:space="preserve">№ 0891200000625007434, </w:t>
      </w:r>
      <w:r>
        <w:rPr>
          <w:rStyle w:val="CharStyle13"/>
          <w:b/>
          <w:bCs/>
        </w:rPr>
        <w:t>в ходе которой установлено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14.08.2025 </w:t>
      </w:r>
      <w:r>
        <w:rPr>
          <w:rStyle w:val="CharStyle13"/>
        </w:rPr>
        <w:t xml:space="preserve">уполномоченным учреждением для нужд заказчика на официальном сайте ЕИС размещены извещение и электронные документы о проведении электронного аукциона на выполнение работ по капитальному ремонту здания пищеблока ГУЗ «Могочинская центральная районная больница» (проемы (двери)), (реестровый номер закупки </w:t>
      </w:r>
      <w:r>
        <w:rPr>
          <w:rStyle w:val="CharStyle13"/>
          <w:lang w:val="en-US" w:eastAsia="en-US"/>
        </w:rPr>
        <w:t>0891200000625007434).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443 642,65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 участие в закупке поступило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заявки, обе признаны соответствующими установленным в извещении требованиям (протокол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25.08.2025 </w:t>
      </w:r>
      <w:r>
        <w:rPr>
          <w:rStyle w:val="CharStyle13"/>
        </w:rPr>
        <w:t>№ИЭА1).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На момент рассмотрения жалобы государственный контракт не заключен.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Порядок подачи и рассмотрения жалобы, установленный главой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Закона о контрактной системе, предусматривает право участника закупки подать только одну жалобу на положения извещения о закупке. Соответственно, Комиссией в рамках рассмотрения настоящей жалобы проводится внеплановая проверка действий субъектов контроля при осуществлении закупки </w:t>
      </w:r>
      <w:r>
        <w:rPr>
          <w:rStyle w:val="CharStyle13"/>
          <w:lang w:val="en-US" w:eastAsia="en-US"/>
        </w:rPr>
        <w:t>№0891200000625007434.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b/>
          <w:bCs/>
        </w:rPr>
        <w:t>Рассмотрев представленные документы, заслушав объяснения сторон, Комиссия приходит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пунктами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 извещение об осуществлении закупки должно содержать следующие электронные документы: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1) </w:t>
      </w:r>
      <w:r>
        <w:rPr>
          <w:rStyle w:val="CharStyle13"/>
        </w:rPr>
        <w:t xml:space="preserve">описание объекта 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3) </w:t>
      </w:r>
      <w:r>
        <w:rPr>
          <w:rStyle w:val="CharStyle13"/>
        </w:rPr>
        <w:t>требования к содержанию, составу заявки на участие в закупке в соответствии с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55" w:right="534" w:bottom="1266" w:left="1099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В соответствии с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Заказчик должен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 (пункт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силу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извещение о закупке в соответствии с требованиями, указанными в 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пунктом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указанным законодательством не требуется, </w:t>
      </w:r>
      <w:r>
        <w:rPr>
          <w:rStyle w:val="CharStyle13"/>
          <w:lang w:val="en-US" w:eastAsia="en-US"/>
        </w:rPr>
        <w:t xml:space="preserve">&lt;…&gt;. </w:t>
      </w:r>
      <w:r>
        <w:rPr>
          <w:rStyle w:val="CharStyle13"/>
        </w:rPr>
        <w:t xml:space="preserve">Включение проектной документации в описание объекта закупки в соответствии с настоящим пунктом является надлежащим исполнением требований </w:t>
      </w:r>
      <w:r>
        <w:fldChar w:fldCharType="begin"/>
      </w:r>
      <w:r>
        <w:rPr/>
        <w:instrText> HYPERLINK "https://www.consultant.ru/document/cons_doc_LAW_494990/d6aec91603ff628ea274b8552ce2849e06e0aa4c/%23dst335" </w:instrText>
      </w:r>
      <w:r>
        <w:fldChar w:fldCharType="separate"/>
      </w:r>
      <w:r>
        <w:rPr>
          <w:rStyle w:val="CharStyle13"/>
        </w:rPr>
        <w:t xml:space="preserve">пунктов </w:t>
      </w:r>
      <w:r>
        <w:rPr>
          <w:rStyle w:val="CharStyle13"/>
          <w:lang w:val="en-US" w:eastAsia="en-US"/>
        </w:rPr>
        <w:t>1</w:t>
      </w:r>
      <w:r>
        <w:fldChar w:fldCharType="end"/>
      </w:r>
      <w:r>
        <w:rPr>
          <w:rStyle w:val="CharStyle13"/>
          <w:lang w:val="en-US" w:eastAsia="en-US"/>
        </w:rPr>
        <w:t xml:space="preserve"> -</w:t>
      </w:r>
      <w:r>
        <w:fldChar w:fldCharType="begin"/>
      </w:r>
      <w:r>
        <w:rPr/>
        <w:instrText> HYPERLINK "https://www.consultant.ru/document/cons_doc_LAW_494990/d6aec91603ff628ea274b8552ce2849e06e0aa4c/%23dst135" </w:instrText>
      </w:r>
      <w:r>
        <w:fldChar w:fldCharType="separate"/>
      </w:r>
      <w:r>
        <w:rPr>
          <w:rStyle w:val="CharStyle13"/>
          <w:lang w:val="en-US" w:eastAsia="en-US"/>
        </w:rPr>
        <w:t xml:space="preserve"> 3</w:t>
      </w:r>
      <w:r>
        <w:fldChar w:fldCharType="end"/>
      </w:r>
      <w:r>
        <w:rPr>
          <w:rStyle w:val="CharStyle13"/>
          <w:lang w:val="en-US" w:eastAsia="en-US"/>
        </w:rPr>
        <w:t xml:space="preserve"> </w:t>
      </w:r>
      <w:r>
        <w:rPr>
          <w:rStyle w:val="CharStyle13"/>
        </w:rPr>
        <w:t>настоящей части,</w:t>
      </w:r>
      <w:r>
        <w:fldChar w:fldCharType="begin"/>
      </w:r>
      <w:r>
        <w:rPr/>
        <w:instrText> HYPERLINK "https://www.consultant.ru/document/cons_doc_LAW_494990/d6aec91603ff628ea274b8552ce2849e06e0aa4c/%23dst2234" </w:instrText>
      </w:r>
      <w:r>
        <w:fldChar w:fldCharType="separate"/>
      </w:r>
      <w:r>
        <w:rPr>
          <w:rStyle w:val="CharStyle13"/>
        </w:rPr>
        <w:t xml:space="preserve"> части </w:t>
      </w:r>
      <w:r>
        <w:rPr>
          <w:rStyle w:val="CharStyle13"/>
          <w:lang w:val="en-US" w:eastAsia="en-US"/>
        </w:rPr>
        <w:t>2</w:t>
      </w:r>
      <w:r>
        <w:fldChar w:fldCharType="end"/>
      </w:r>
      <w:r>
        <w:rPr>
          <w:rStyle w:val="CharStyle13"/>
          <w:lang w:val="en-US" w:eastAsia="en-US"/>
        </w:rPr>
        <w:t xml:space="preserve"> </w:t>
      </w:r>
      <w:r>
        <w:rPr>
          <w:rStyle w:val="CharStyle13"/>
        </w:rPr>
        <w:t>настоящей статьи.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Вышеназванные требования при осуществлении закупки </w:t>
      </w:r>
      <w:r>
        <w:rPr>
          <w:rStyle w:val="CharStyle13"/>
          <w:lang w:val="en-US" w:eastAsia="en-US"/>
        </w:rPr>
        <w:t xml:space="preserve">№0891200000625007434 </w:t>
      </w:r>
      <w:r>
        <w:rPr>
          <w:rStyle w:val="CharStyle13"/>
        </w:rPr>
        <w:t xml:space="preserve">заказчиком соблюдены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в составе извещения о закупке размещены локально-сметные расчеты, ведомость объемов работ, определяющие виды и объемы работ, выполнение которых необходимо в рамках спорной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617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Вопреки доводам заявителя, описание объекта закупки не содержит требований к соотнесению подрядчиком работ при их выполнении с работами по иным контрактам с иными подрядчиками на объекте заказчика. Согласно п. </w:t>
      </w:r>
      <w:r>
        <w:rPr>
          <w:rStyle w:val="CharStyle13"/>
          <w:lang w:val="en-US" w:eastAsia="en-US"/>
        </w:rPr>
        <w:t xml:space="preserve">5.1.9 </w:t>
      </w:r>
      <w:r>
        <w:rPr>
          <w:rStyle w:val="CharStyle13"/>
        </w:rPr>
        <w:t xml:space="preserve">проекта контракта заказчиком приняты на себя обязательства «со дня заключения Контракта осуществлять </w:t>
      </w:r>
      <w:r>
        <w:rPr>
          <w:rStyle w:val="CharStyle13"/>
          <w:u w:val="single"/>
        </w:rPr>
        <w:t>содействие Подрядчику</w:t>
      </w:r>
      <w:r>
        <w:rPr>
          <w:rStyle w:val="CharStyle13"/>
        </w:rPr>
        <w:t xml:space="preserve"> в исполнении им своих обязательств по Контракту, а также </w:t>
      </w:r>
      <w:r>
        <w:rPr>
          <w:rStyle w:val="CharStyle13"/>
          <w:u w:val="single"/>
        </w:rPr>
        <w:t>осуществлять действия, позволяющие Подрядчику приступить к выполнению работ и своевременно выполнить работы,</w:t>
      </w:r>
      <w:r>
        <w:rPr>
          <w:rStyle w:val="CharStyle13"/>
        </w:rPr>
        <w:t xml:space="preserve"> если в соответствии с законодательством Российской Федерации осуществление таких действий возложено на Заказчика». Таким образом, анализируя доводы заявителя, Комиссия приходит к выводу, что принятие заказчиком решения о проведении одновременно нескольких закупок на выполнение работ по капитальному ремонту объекта само по себе не противоречит </w:t>
      </w:r>
      <w:r>
        <w:rPr>
          <w:rStyle w:val="CharStyle13"/>
          <w:lang w:val="en-US" w:eastAsia="en-US"/>
        </w:rPr>
        <w:t>2025-4152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законодательству о контрактной системе, вместе с тем, именно на заказчика возлагает обеспечение согласования с подрядчиками графиков выполнения работ с учетом технологии производства работ на объекте и контроль за их соблюдением.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Требования к участникам закупки установлены исходя из объекта закупки и его стоимости, в соответствии со статьей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Требования Закона о контрактной системе к выбору способа закупки (ст. </w:t>
      </w:r>
      <w:r>
        <w:rPr>
          <w:rStyle w:val="CharStyle13"/>
          <w:lang w:val="en-US" w:eastAsia="en-US"/>
        </w:rPr>
        <w:t xml:space="preserve">24) </w:t>
      </w:r>
      <w:r>
        <w:rPr>
          <w:rStyle w:val="CharStyle13"/>
        </w:rPr>
        <w:t>заказчиком не нарушены. При этом Комиссия разделяет позицию заказчика об отсутствии в законодательстве о контрактной системе понятия «искусственного дробления закупки» применительно к проведению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 основании изложенного, Комиссия не усматривает в действиях заказчика и уполномоченного учреждения нарушений требований Закона о контрактной системе при осуществлении закупки </w:t>
      </w:r>
      <w:r>
        <w:rPr>
          <w:rStyle w:val="CharStyle13"/>
          <w:lang w:val="en-US" w:eastAsia="en-US"/>
        </w:rPr>
        <w:t>№0891200000625007434.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Исходя из изложенного, руководствуясь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26.08.2013 №728 </w:t>
      </w:r>
      <w:r>
        <w:rPr>
          <w:rStyle w:val="CharStyle13"/>
        </w:rPr>
        <w:t xml:space="preserve">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106, </w:t>
      </w: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комиссия,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  <w:b/>
          <w:bCs/>
        </w:rPr>
        <w:t>Р Е Ш И Л 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380"/>
        <w:jc w:val="both"/>
      </w:pPr>
      <w:r>
        <w:rPr>
          <w:rStyle w:val="CharStyle13"/>
          <w:lang w:val="en-US" w:eastAsia="en-US"/>
        </w:rPr>
        <w:t xml:space="preserve">1. </w:t>
      </w:r>
      <w:r>
        <w:rPr>
          <w:rStyle w:val="CharStyle13"/>
        </w:rPr>
        <w:t>Признать жалобу ООО «Амелис»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3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550" w:bottom="248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4500" distB="191770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444500</wp:posOffset>
                </wp:positionV>
                <wp:extent cx="182245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20"/>
                              </w:rPr>
                              <w:t>Председатель комиссии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35.pt;width:143.5pt;height:19.699999999999999pt;z-index:-125829373;mso-wrap-distance-left:0;mso-wrap-distance-top:35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20"/>
                        </w:rPr>
                        <w:t>Председатель комиссии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42290" distB="0" distL="0" distR="1816735" simplePos="0" relativeHeight="125829382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542290</wp:posOffset>
            </wp:positionV>
            <wp:extent cx="298450" cy="34734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603250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25pt;margin-top:47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44500" distB="191770" distL="0" distR="0" simplePos="0" relativeHeight="125829383" behindDoc="0" locked="0" layoutInCell="1" allowOverlap="1">
                <wp:simplePos x="0" y="0"/>
                <wp:positionH relativeFrom="page">
                  <wp:posOffset>6252845</wp:posOffset>
                </wp:positionH>
                <wp:positionV relativeFrom="paragraph">
                  <wp:posOffset>444500</wp:posOffset>
                </wp:positionV>
                <wp:extent cx="93281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6" w:name="bookmark6"/>
                            <w:r>
                              <w:rPr>
                                <w:rStyle w:val="CharStyle20"/>
                              </w:rPr>
                              <w:t>М.Б. Гойгов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2.35000000000002pt;margin-top:35.pt;width:73.450000000000003pt;height:19.699999999999999pt;z-index:-125829370;mso-wrap-distance-left:0;mso-wrap-distance-top:35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6" w:name="bookmark6"/>
                      <w:r>
                        <w:rPr>
                          <w:rStyle w:val="CharStyle20"/>
                        </w:rPr>
                        <w:t>М.Б. Гойгов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Гонгов Микаил Багаудинович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6B7D33BE8CC0C94FF020A9BF5C07A7FA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7"/>
        </w:rPr>
        <w:t xml:space="preserve">Действителен с 08.10.2024 </w:t>
      </w:r>
      <w:r>
        <w:rPr>
          <w:rStyle w:val="CharStyle27"/>
          <w:color w:val="5C5C5C"/>
        </w:rPr>
        <w:t>по 01</w:t>
      </w:r>
      <w:r>
        <w:rPr>
          <w:rStyle w:val="CharStyle27"/>
          <w:color w:val="292929"/>
        </w:rPr>
        <w:t>.01</w:t>
      </w:r>
      <w:r>
        <w:rPr>
          <w:rStyle w:val="CharStyle27"/>
        </w:rPr>
        <w:t>.2026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8" w:name="bookmark8"/>
      <w:r>
        <w:rPr>
          <w:rStyle w:val="CharStyle20"/>
        </w:rPr>
        <w:t>Члены комиссии:</w:t>
      </w:r>
      <w:bookmarkEnd w:id="8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40000000000001pt;margin-top:36.70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25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rStyle w:val="CharStyle20"/>
        </w:rPr>
        <w:t>А.О. Осипова</w:t>
      </w:r>
      <w:bookmarkEnd w:id="10"/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Осипова Анна Олеговна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67623B647A866373412268098DE31969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rStyle w:val="CharStyle27"/>
        </w:rPr>
        <w:t>Действителен с 02.1</w:t>
      </w:r>
      <w:r>
        <w:rPr>
          <w:rStyle w:val="CharStyle27"/>
          <w:color w:val="292929"/>
        </w:rPr>
        <w:t>1</w:t>
      </w:r>
      <w:r>
        <w:rPr>
          <w:rStyle w:val="CharStyle27"/>
        </w:rPr>
        <w:t xml:space="preserve">.2024 </w:t>
      </w:r>
      <w:r>
        <w:rPr>
          <w:rStyle w:val="CharStyle27"/>
          <w:color w:val="5C5C5C"/>
        </w:rPr>
        <w:t xml:space="preserve">по </w:t>
      </w:r>
      <w:r>
        <w:rPr>
          <w:rStyle w:val="CharStyle27"/>
        </w:rPr>
        <w:t>26.01.2026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2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2" w:name="bookmark12"/>
      <w:r>
        <w:rPr>
          <w:rStyle w:val="CharStyle20"/>
        </w:rPr>
        <w:t>И.С. Китаева</w:t>
      </w:r>
      <w:bookmarkEnd w:id="12"/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Китаева Ирина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6B90505E0489D0993F619ABD3D55A0E2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7"/>
        </w:rPr>
        <w:t xml:space="preserve">Действителен с 31.01.2025 </w:t>
      </w:r>
      <w:r>
        <w:rPr>
          <w:rStyle w:val="CharStyle27"/>
          <w:color w:val="5C5C5C"/>
        </w:rPr>
        <w:t xml:space="preserve">по </w:t>
      </w:r>
      <w:r>
        <w:rPr>
          <w:rStyle w:val="CharStyle27"/>
        </w:rPr>
        <w:t>26.04.2026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10013315</wp:posOffset>
              </wp:positionV>
              <wp:extent cx="66167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2025-4152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649999999999999pt;margin-top:788.45000000000005pt;width:52.100000000000001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6167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2025-4152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95000000000005pt;width:52.100000000000001pt;height:8.4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0">
    <w:name w:val="Heading #3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8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106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19">
    <w:name w:val="Heading #3"/>
    <w:basedOn w:val="Normal"/>
    <w:link w:val="CharStyle20"/>
    <w:pPr>
      <w:widowControl w:val="0"/>
      <w:shd w:val="clear" w:color="auto" w:fill="auto"/>
      <w:spacing w:after="24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