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</w:pPr>
      <w:r>
        <w:rPr>
          <w:rStyle w:val="CharStyle3"/>
          <w:color w:val="486096"/>
        </w:rPr>
        <w:t>ф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9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/>
        <w:ind w:left="1380" w:right="0" w:firstLine="0"/>
        <w:jc w:val="left"/>
        <w:rPr>
          <w:sz w:val="17"/>
          <w:szCs w:val="17"/>
        </w:rPr>
      </w:pPr>
      <w:r>
        <w:rPr>
          <w:rStyle w:val="CharStyle9"/>
          <w:b/>
          <w:bCs/>
          <w:sz w:val="17"/>
          <w:szCs w:val="17"/>
        </w:rPr>
        <w:t>УПРАВЛЕНИЕ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0"/>
        <w:jc w:val="center"/>
        <w:rPr>
          <w:sz w:val="17"/>
          <w:szCs w:val="17"/>
        </w:rPr>
      </w:pPr>
      <w:r>
        <w:rPr>
          <w:rStyle w:val="CharStyle9"/>
          <w:b/>
          <w:bCs/>
          <w:sz w:val="17"/>
          <w:szCs w:val="17"/>
        </w:rPr>
        <w:t>Федеральной антимонопольной службы</w:t>
        <w:br/>
        <w:t>по Забайкальскому краю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rStyle w:val="CharStyle9"/>
        </w:rPr>
        <w:t>ул. Лермонтова, 14, г. Чита, 672076</w:t>
        <w:br/>
        <w:t>почтовый адрес: а/я 803, г. Чита, 672000</w:t>
        <w:br/>
        <w:t>тел. (3022) 21-70-30, факс (3022) 32-12-31</w:t>
        <w:br/>
      </w:r>
      <w:r>
        <w:rPr>
          <w:rStyle w:val="CharStyle9"/>
          <w:lang w:val="en-US" w:eastAsia="en-US"/>
        </w:rPr>
        <w:t xml:space="preserve">e-mail: </w:t>
      </w:r>
      <w:r>
        <w:fldChar w:fldCharType="begin"/>
      </w:r>
      <w:r>
        <w:rPr/>
        <w:instrText> HYPERLINK "mailto:to75@fas.gov.ru" </w:instrText>
      </w:r>
      <w:r>
        <w:fldChar w:fldCharType="separate"/>
      </w:r>
      <w:r>
        <w:rPr>
          <w:rStyle w:val="CharStyle9"/>
          <w:lang w:val="en-US" w:eastAsia="en-US"/>
        </w:rPr>
        <w:t>to75@fas.gov.ru</w:t>
      </w:r>
      <w:r>
        <w:fldChar w:fldCharType="end"/>
      </w:r>
    </w:p>
    <w:p>
      <w:pPr>
        <w:pStyle w:val="Style11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2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2"/>
        </w:rPr>
        <w:t>1.09.2025</w:t>
        <w:tab/>
      </w:r>
      <w:r>
        <w:fldChar w:fldCharType="end"/>
      </w:r>
      <w:r>
        <w:rPr>
          <w:rStyle w:val="CharStyle12"/>
        </w:rPr>
        <w:t xml:space="preserve">№ </w:t>
      </w:r>
      <w:r>
        <w:rPr>
          <w:rStyle w:val="CharStyle12"/>
          <w:u w:val="single"/>
        </w:rPr>
        <w:t>МГ/3682/2</w:t>
      </w:r>
      <w:r>
        <w:rPr>
          <w:rStyle w:val="CharStyle12"/>
        </w:rPr>
        <w:t>5</w:t>
      </w:r>
      <w:bookmarkEnd w:id="0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left"/>
      </w:pPr>
      <w:r>
        <w:rPr>
          <w:rStyle w:val="CharStyle15"/>
        </w:rPr>
        <w:t xml:space="preserve">На №  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Решение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по рассмотрению жалобы №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075/06/105-447/2025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240"/>
        <w:jc w:val="both"/>
      </w:pPr>
      <w:r>
        <w:rPr>
          <w:rStyle w:val="CharStyle3"/>
        </w:rPr>
        <w:t>о нарушении законодательства при осуществлении закупки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28 августа 2025 года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ГКУ "ЗАБГОСЗАКУП"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Российская Федерация, 672010, Забайкальский</w:t>
        <w:br/>
        <w:t>край, Чита г, УЛИЦА АМУРСКАЯ, ДОМ 13</w:t>
        <w:br/>
      </w:r>
      <w:r>
        <w:fldChar w:fldCharType="begin"/>
      </w:r>
      <w:r>
        <w:rPr/>
        <w:instrText> HYPERLINK "mailto:zabgoszakup@goszak.e-zab.ru" </w:instrText>
      </w:r>
      <w:r>
        <w:fldChar w:fldCharType="separate"/>
      </w:r>
      <w:r>
        <w:rPr>
          <w:rStyle w:val="CharStyle3"/>
          <w:lang w:val="en-US" w:eastAsia="en-US"/>
        </w:rPr>
        <w:t>zabgoszakup@goszak.e-zab.ru</w:t>
      </w:r>
      <w:r>
        <w:fldChar w:fldCharType="end"/>
      </w:r>
      <w:r>
        <w:rPr>
          <w:rStyle w:val="CharStyle3"/>
          <w:lang w:val="en-US" w:eastAsia="en-US"/>
        </w:rPr>
        <w:t>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fldChar w:fldCharType="begin"/>
      </w:r>
      <w:r>
        <w:rPr/>
        <w:instrText> HYPERLINK "mailto:notifications.etp@yandex.ru" </w:instrText>
      </w:r>
      <w:r>
        <w:fldChar w:fldCharType="separate"/>
      </w:r>
      <w:r>
        <w:rPr>
          <w:rStyle w:val="CharStyle3"/>
          <w:lang w:val="en-US" w:eastAsia="en-US"/>
        </w:rPr>
        <w:t>notifications.etp@yandex.ru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ООО "АМЕЛИС"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3"/>
        </w:rPr>
        <w:t>673732, ЗАБАЙКАЛЬСКИЙ КРАЙ, Р-Н</w:t>
        <w:br/>
        <w:t>МОГОЧИНСКИЙ, Г МОГОЧА, УЛ</w:t>
        <w:br/>
        <w:t>КРЕСТЬЯНСКАЯ, Д. 25</w:t>
        <w:br/>
      </w:r>
      <w:r>
        <w:fldChar w:fldCharType="begin"/>
      </w:r>
      <w:r>
        <w:rPr/>
        <w:instrText> HYPERLINK "mailto:amelis1963@mail.ru" </w:instrText>
      </w:r>
      <w:r>
        <w:fldChar w:fldCharType="separate"/>
      </w:r>
      <w:r>
        <w:rPr>
          <w:rStyle w:val="CharStyle3"/>
          <w:lang w:val="en-US" w:eastAsia="en-US"/>
        </w:rPr>
        <w:t>amelis1963@mail.ru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0" w:right="0" w:firstLine="0"/>
        <w:jc w:val="center"/>
      </w:pPr>
      <w:r>
        <w:rPr>
          <w:rStyle w:val="CharStyle3"/>
        </w:rPr>
        <w:t>ГОСУДАРСТВЕННОЕ УЧРЕЖДЕНИЕ</w:t>
        <w:br/>
        <w:t>ЗДРАВООХРАНЕНИЯ "МОГОЧИНСКАЯ</w:t>
        <w:br/>
        <w:t>ЦЕНТРАЛЬНАЯ РАЙОННАЯ БОЛЬНИЦА"</w:t>
        <w:br/>
      </w:r>
      <w:r>
        <w:fldChar w:fldCharType="begin"/>
      </w:r>
      <w:r>
        <w:rPr/>
        <w:instrText> HYPERLINK "mailto:mg44fz@mail.ru" </w:instrText>
      </w:r>
      <w:r>
        <w:fldChar w:fldCharType="separate"/>
      </w:r>
      <w:r>
        <w:rPr>
          <w:rStyle w:val="CharStyle3"/>
          <w:lang w:val="en-US" w:eastAsia="en-US"/>
        </w:rPr>
        <w:t>mg44fz@mail.ru</w:t>
      </w:r>
      <w:r>
        <w:fldChar w:fldCharType="end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140" w:firstLine="0"/>
        <w:jc w:val="righ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361" w:right="618" w:bottom="1183" w:left="1111" w:header="0" w:footer="3" w:gutter="0"/>
          <w:pgNumType w:start="1"/>
          <w:cols w:num="2" w:space="720" w:equalWidth="0">
            <w:col w:w="4253" w:space="1066"/>
            <w:col w:w="4853"/>
          </w:cols>
          <w:noEndnote/>
          <w:titlePg/>
          <w:rtlGutter w:val="0"/>
          <w:docGrid w:linePitch="360"/>
        </w:sectPr>
      </w:pPr>
      <w:r>
        <w:rPr>
          <w:rStyle w:val="CharStyle3"/>
        </w:rPr>
        <w:t>г. Чита, ул. Лермонтова, 14</w:t>
      </w:r>
    </w:p>
    <w:p>
      <w:pPr>
        <w:widowControl w:val="0"/>
        <w:spacing w:line="104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66" w:right="0" w:bottom="117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3"/>
        </w:rPr>
        <w:t>Комиссия Забайкальского УФАС России по рассмотрению жалоб в сфере закупок в составе: председателя комиссии Гойгова М.Б. руководителя Забайкальского УФАС России, членов комиссии: Осиповой А.О. начальника отдела контроля закупок Забайкальского УФАС России, Китаевой И.С. главного государственного инспектора отдела контроля закупок Забайкальского УФАС России,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3"/>
        </w:rPr>
        <w:t xml:space="preserve">рассмотрев жалобу ООО «Амелис»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заказчиком – ГУЗ «Могочинская центральная районная больница», уполномоченным учреждением - ГКУ «Забайкальский центр государственных закупок» при проведении аукциона в электронной форме «Капитальный ремонт здания пищеблока Государственного учреждения здравоохранения «Могочинская центральная районная больница» (00008023-ЭА)» (реестровый номер закупки </w:t>
      </w:r>
      <w:r>
        <w:rPr>
          <w:rStyle w:val="CharStyle3"/>
          <w:color w:val="330000"/>
        </w:rPr>
        <w:t>0891200000625007435</w:t>
      </w:r>
      <w:r>
        <w:rPr>
          <w:rStyle w:val="CharStyle3"/>
        </w:rPr>
        <w:t>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40"/>
        <w:jc w:val="both"/>
      </w:pPr>
      <w:r>
        <w:rPr>
          <w:rStyle w:val="CharStyle3"/>
        </w:rPr>
        <w:t>при участии по ВКС представителя заявителя Милехина А.Ю. (доверенность от 25.08.2025); представителя уполномоченного учреждения Шульги Я.О. (доверенность от12.05.2025 №8), представителей заказчика Салисовой Т.Л. (и.о. главного врача, приказ от 01.08.2025 №96-кл), Мингаловой Ю.А. (доверенность от 09.01.2025), Стремиловой Я.А. (доверенность от 26.08.2025),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3"/>
          <w:b/>
          <w:bCs/>
        </w:rPr>
        <w:t>УСТАНОВИЛА: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3"/>
        </w:rPr>
        <w:t>21.08.2025 в адрес Забайкальского УФАС России поступила жалоба ООО «Амелис»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заказчиком – ГУЗ «Могочинская ЦРБ» при осуществлении закупки №0891200000625007435.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0" w:firstLine="740"/>
        <w:jc w:val="both"/>
      </w:pPr>
      <w:r>
        <w:rPr>
          <w:rStyle w:val="CharStyle3"/>
        </w:rPr>
        <w:t>Заявителем указано, что в соответствии с позицией плана-графика №252751200023975120100101610004120243 от 08.08.2025 у Заказчика имеется единая потребность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6" w:name="bookmark6"/>
      <w:r>
        <w:rPr>
          <w:rStyle w:val="CharStyle23"/>
        </w:rPr>
        <w:t>IHIIIIIIIIIII in mm</w:t>
      </w:r>
      <w:bookmarkEnd w:id="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 xml:space="preserve">в закупке капитального ремонта здания пищеблока ГУЗ «Могочинская ЦРБ» на общую сумму </w:t>
      </w:r>
      <w:r>
        <w:rPr>
          <w:rStyle w:val="CharStyle3"/>
          <w:lang w:val="en-US" w:eastAsia="en-US"/>
        </w:rPr>
        <w:t xml:space="preserve">13 900 000 </w:t>
      </w:r>
      <w:r>
        <w:rPr>
          <w:rStyle w:val="CharStyle3"/>
        </w:rPr>
        <w:t>рублей.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Вместо проведения одной закупки для удовлетворения единой потребности, Заказчик разместил пять отдельных извещений о проведении электронных аукционов </w:t>
      </w:r>
      <w:r>
        <w:rPr>
          <w:rStyle w:val="CharStyle3"/>
          <w:lang w:val="en-US" w:eastAsia="en-US"/>
        </w:rPr>
        <w:t xml:space="preserve">(№№ 0891200000625007432, 0891200000625007433, 0891200000625007434, 0891200000625007435, 0891200000625007436), </w:t>
      </w:r>
      <w:r>
        <w:rPr>
          <w:rStyle w:val="CharStyle3"/>
        </w:rPr>
        <w:t xml:space="preserve">каждый из которых предусматривает поставку технологически единых работ. Данные действия Заказчика являются классическим примером искусственного дробления закупки на части с целью занижения НМЦК каждой отдельной закупки и уклонения от установленных законом обязательных требований в соответствии с позицией </w:t>
      </w:r>
      <w:r>
        <w:rPr>
          <w:rStyle w:val="CharStyle3"/>
          <w:lang w:val="en-US" w:eastAsia="en-US"/>
        </w:rPr>
        <w:t xml:space="preserve">10 </w:t>
      </w:r>
      <w:r>
        <w:rPr>
          <w:rStyle w:val="CharStyle3"/>
        </w:rPr>
        <w:t xml:space="preserve">раздела </w:t>
      </w:r>
      <w:r>
        <w:rPr>
          <w:rStyle w:val="CharStyle3"/>
          <w:lang w:val="en-US" w:eastAsia="en-US"/>
        </w:rPr>
        <w:t xml:space="preserve">II </w:t>
      </w:r>
      <w:r>
        <w:rPr>
          <w:rStyle w:val="CharStyle3"/>
        </w:rPr>
        <w:t xml:space="preserve">приложения к ПП РФ от </w:t>
      </w:r>
      <w:r>
        <w:rPr>
          <w:rStyle w:val="CharStyle3"/>
          <w:lang w:val="en-US" w:eastAsia="en-US"/>
        </w:rPr>
        <w:t xml:space="preserve">29.12.2021 №2571 </w:t>
      </w:r>
      <w:r>
        <w:rPr>
          <w:rStyle w:val="CharStyle3"/>
        </w:rPr>
        <w:t>и установления требований по СРО.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3"/>
        </w:rPr>
        <w:t>Заявитель просит выдать предписание об аннулировании закупок с целью последующего размещения единой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  <w:b/>
          <w:bCs/>
        </w:rPr>
        <w:t xml:space="preserve">Представители заказчика и уполномоченного учреждения с доводами заявителя не согласились, </w:t>
      </w:r>
      <w:r>
        <w:rPr>
          <w:rStyle w:val="CharStyle3"/>
        </w:rPr>
        <w:t xml:space="preserve">жалобу считают необоснованной. Сторонами указано, что лимиты доведены </w:t>
      </w:r>
      <w:r>
        <w:rPr>
          <w:rStyle w:val="CharStyle3"/>
          <w:lang w:val="en-US" w:eastAsia="en-US"/>
        </w:rPr>
        <w:t xml:space="preserve">24.07.2025, </w:t>
      </w:r>
      <w:r>
        <w:rPr>
          <w:rStyle w:val="CharStyle3"/>
        </w:rPr>
        <w:t xml:space="preserve">срок выполнения работ по капитальному ремонту являются сжатым (до </w:t>
      </w:r>
      <w:r>
        <w:rPr>
          <w:rStyle w:val="CharStyle3"/>
          <w:lang w:val="en-US" w:eastAsia="en-US"/>
        </w:rPr>
        <w:t xml:space="preserve">14.11.2025). </w:t>
      </w:r>
      <w:r>
        <w:rPr>
          <w:rStyle w:val="CharStyle3"/>
        </w:rPr>
        <w:t>Поскольку работы, являющиеся объектом закупок, являются разными, принято решение для осуществления нескольких закупок с той целью, чтобы закупки состоялись и несколько подрядчиков одновременно выполняли работы в соответствии с согласованным календарным графиком с соблюдением сроков и очередности их выполнения. Заказчиком указано, что законодательство о контрактной системе не содержит понятия дробления для конкурентных закупок, принципы контрактной системы по обеспечению конкуренции и прозрачности закупок соблюдены.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  <w:b/>
          <w:bCs/>
        </w:rPr>
        <w:t xml:space="preserve">В ходе рассмотрения жалобы, комиссией на основании пункта </w:t>
      </w:r>
      <w:r>
        <w:rPr>
          <w:rStyle w:val="CharStyle3"/>
          <w:b/>
          <w:bCs/>
          <w:lang w:val="en-US" w:eastAsia="en-US"/>
        </w:rPr>
        <w:t xml:space="preserve">1 </w:t>
      </w:r>
      <w:r>
        <w:rPr>
          <w:rStyle w:val="CharStyle3"/>
          <w:b/>
          <w:bCs/>
        </w:rPr>
        <w:t xml:space="preserve">части </w:t>
      </w:r>
      <w:r>
        <w:rPr>
          <w:rStyle w:val="CharStyle3"/>
          <w:b/>
          <w:bCs/>
          <w:lang w:val="en-US" w:eastAsia="en-US"/>
        </w:rPr>
        <w:t xml:space="preserve">15 </w:t>
      </w:r>
      <w:r>
        <w:rPr>
          <w:rStyle w:val="CharStyle3"/>
          <w:b/>
          <w:bCs/>
        </w:rPr>
        <w:t xml:space="preserve">статьи </w:t>
      </w:r>
      <w:r>
        <w:rPr>
          <w:rStyle w:val="CharStyle3"/>
          <w:b/>
          <w:bCs/>
          <w:lang w:val="en-US" w:eastAsia="en-US"/>
        </w:rPr>
        <w:t xml:space="preserve">99 </w:t>
      </w:r>
      <w:r>
        <w:rPr>
          <w:rStyle w:val="CharStyle3"/>
          <w:b/>
          <w:bCs/>
        </w:rPr>
        <w:t xml:space="preserve">Закона о контрактной системе проведена внеплановая проверка закупки </w:t>
      </w:r>
      <w:r>
        <w:rPr>
          <w:rStyle w:val="CharStyle3"/>
          <w:b/>
          <w:bCs/>
          <w:lang w:val="en-US" w:eastAsia="en-US"/>
        </w:rPr>
        <w:t xml:space="preserve">№ 0891200000625007435, </w:t>
      </w:r>
      <w:r>
        <w:rPr>
          <w:rStyle w:val="CharStyle3"/>
          <w:b/>
          <w:bCs/>
        </w:rPr>
        <w:t>в ходе которой установлено следующее.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  <w:lang w:val="en-US" w:eastAsia="en-US"/>
        </w:rPr>
        <w:t xml:space="preserve">14.08.2025 </w:t>
      </w:r>
      <w:r>
        <w:rPr>
          <w:rStyle w:val="CharStyle3"/>
        </w:rPr>
        <w:t xml:space="preserve">уполномоченным учреждением для нужд заказчика на официальном сайте ЕИС размещены извещение и электронные документы о проведении электронного аукциона на выполнение работ по капитальному ремонту здания пищеблока ГУЗ «Могочинская центральная районная больница» (кровля), (реестровый номер закупки </w:t>
      </w:r>
      <w:r>
        <w:rPr>
          <w:rStyle w:val="CharStyle3"/>
          <w:lang w:val="en-US" w:eastAsia="en-US"/>
        </w:rPr>
        <w:t>0891200000625007435).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Начальная (максимальная) цена контракта </w:t>
      </w:r>
      <w:r>
        <w:rPr>
          <w:rStyle w:val="CharStyle3"/>
          <w:color w:val="334059"/>
          <w:lang w:val="en-US" w:eastAsia="en-US"/>
        </w:rPr>
        <w:t xml:space="preserve">5724198,20 </w:t>
      </w:r>
      <w:r>
        <w:rPr>
          <w:rStyle w:val="CharStyle3"/>
        </w:rPr>
        <w:t>рублей.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На участие в закупке поступило </w:t>
      </w:r>
      <w:r>
        <w:rPr>
          <w:rStyle w:val="CharStyle3"/>
          <w:lang w:val="en-US" w:eastAsia="en-US"/>
        </w:rPr>
        <w:t xml:space="preserve">3 </w:t>
      </w:r>
      <w:r>
        <w:rPr>
          <w:rStyle w:val="CharStyle3"/>
        </w:rPr>
        <w:t xml:space="preserve">заявки, все признаны соответствующими установленным в извещении требованиям протокол подведения итогов определения поставщика (подрядчика, исполнителя) от </w:t>
      </w:r>
      <w:r>
        <w:rPr>
          <w:rStyle w:val="CharStyle3"/>
          <w:lang w:val="en-US" w:eastAsia="en-US"/>
        </w:rPr>
        <w:t xml:space="preserve">25.08.2025 </w:t>
      </w:r>
      <w:r>
        <w:rPr>
          <w:rStyle w:val="CharStyle3"/>
        </w:rPr>
        <w:t>№ИЭА1).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На момент рассмотрения жалобы государственный контракт не заключен.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Порядок подачи и рассмотрения жалобы, установленный главой </w:t>
      </w:r>
      <w:r>
        <w:rPr>
          <w:rStyle w:val="CharStyle3"/>
          <w:lang w:val="en-US" w:eastAsia="en-US"/>
        </w:rPr>
        <w:t xml:space="preserve">6 </w:t>
      </w:r>
      <w:r>
        <w:rPr>
          <w:rStyle w:val="CharStyle3"/>
        </w:rPr>
        <w:t xml:space="preserve">Закона о контрактной системе, предусматривает право участника закупки подать только одну жалобу на положения извещения о закупке. Соответственно, Комиссией в рамках рассмотрения настоящей жалобы проводится внеплановая проверка действий субъектов контроля при осуществлении закупки </w:t>
      </w:r>
      <w:r>
        <w:rPr>
          <w:rStyle w:val="CharStyle3"/>
          <w:lang w:val="en-US" w:eastAsia="en-US"/>
        </w:rPr>
        <w:t>№0891200000625007435.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  <w:b/>
          <w:bCs/>
        </w:rPr>
        <w:t>Рассмотрев представленные документы, заслушав объяснения сторон, Комиссия приходит к следующим выводам.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В соответствии с пунктами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и </w:t>
      </w:r>
      <w:r>
        <w:rPr>
          <w:rStyle w:val="CharStyle3"/>
          <w:lang w:val="en-US" w:eastAsia="en-US"/>
        </w:rPr>
        <w:t xml:space="preserve">3 </w:t>
      </w:r>
      <w:r>
        <w:rPr>
          <w:rStyle w:val="CharStyle3"/>
        </w:rPr>
        <w:t xml:space="preserve">части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статьи </w:t>
      </w:r>
      <w:r>
        <w:rPr>
          <w:rStyle w:val="CharStyle3"/>
          <w:lang w:val="en-US" w:eastAsia="en-US"/>
        </w:rPr>
        <w:t xml:space="preserve">42 </w:t>
      </w:r>
      <w:r>
        <w:rPr>
          <w:rStyle w:val="CharStyle3"/>
        </w:rPr>
        <w:t>Закона о контрактной системе извещение об осуществлении закупки должно содержать следующие электронные документы: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  <w:lang w:val="en-US" w:eastAsia="en-US"/>
        </w:rPr>
        <w:t xml:space="preserve">1) </w:t>
      </w:r>
      <w:r>
        <w:rPr>
          <w:rStyle w:val="CharStyle3"/>
        </w:rPr>
        <w:t xml:space="preserve">описание объекта закупки в соответствии со статьей </w:t>
      </w:r>
      <w:r>
        <w:rPr>
          <w:rStyle w:val="CharStyle3"/>
          <w:lang w:val="en-US" w:eastAsia="en-US"/>
        </w:rPr>
        <w:t xml:space="preserve">33 </w:t>
      </w:r>
      <w:r>
        <w:rPr>
          <w:rStyle w:val="CharStyle3"/>
        </w:rPr>
        <w:t>закона;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  <w:lang w:val="en-US" w:eastAsia="en-US"/>
        </w:rPr>
        <w:t xml:space="preserve">3) </w:t>
      </w:r>
      <w:r>
        <w:rPr>
          <w:rStyle w:val="CharStyle3"/>
        </w:rPr>
        <w:t>требования к содержанию, составу заявки на участие в закупке в соответствии с законом и инструкцию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В соответствии с пунктом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части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статьи </w:t>
      </w:r>
      <w:r>
        <w:rPr>
          <w:rStyle w:val="CharStyle3"/>
          <w:lang w:val="en-US" w:eastAsia="en-US"/>
        </w:rPr>
        <w:t xml:space="preserve">33 </w:t>
      </w:r>
      <w:r>
        <w:rPr>
          <w:rStyle w:val="CharStyle3"/>
        </w:rPr>
        <w:t>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Заказчик должен использовать при составлении описания объекта закупки показатели, требования, условные обозначения и терминологию, касающиеся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 (пункт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части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статьи </w:t>
      </w:r>
      <w:r>
        <w:rPr>
          <w:rStyle w:val="CharStyle3"/>
          <w:lang w:val="en-US" w:eastAsia="en-US"/>
        </w:rPr>
        <w:t xml:space="preserve">33 </w:t>
      </w:r>
      <w:r>
        <w:rPr>
          <w:rStyle w:val="CharStyle3"/>
        </w:rPr>
        <w:t>Закона о контрактной системе).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В силу части </w:t>
      </w:r>
      <w:r>
        <w:rPr>
          <w:rStyle w:val="CharStyle3"/>
          <w:lang w:val="en-US" w:eastAsia="en-US"/>
        </w:rPr>
        <w:t xml:space="preserve">2 </w:t>
      </w:r>
      <w:r>
        <w:rPr>
          <w:rStyle w:val="CharStyle3"/>
        </w:rPr>
        <w:t xml:space="preserve">статьи </w:t>
      </w:r>
      <w:r>
        <w:rPr>
          <w:rStyle w:val="CharStyle3"/>
          <w:lang w:val="en-US" w:eastAsia="en-US"/>
        </w:rPr>
        <w:t xml:space="preserve">33 </w:t>
      </w:r>
      <w:r>
        <w:rPr>
          <w:rStyle w:val="CharStyle3"/>
        </w:rPr>
        <w:t xml:space="preserve">Закона о контрактной системе извещение о закупке в соответствии с требованиями, указанными в части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статьи </w:t>
      </w:r>
      <w:r>
        <w:rPr>
          <w:rStyle w:val="CharStyle3"/>
          <w:lang w:val="en-US" w:eastAsia="en-US"/>
        </w:rPr>
        <w:t xml:space="preserve">33 </w:t>
      </w:r>
      <w:r>
        <w:rPr>
          <w:rStyle w:val="CharStyle3"/>
        </w:rPr>
        <w:t>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В соответствии с пунктом </w:t>
      </w:r>
      <w:r>
        <w:rPr>
          <w:rStyle w:val="CharStyle3"/>
          <w:lang w:val="en-US" w:eastAsia="en-US"/>
        </w:rPr>
        <w:t xml:space="preserve">8 </w:t>
      </w:r>
      <w:r>
        <w:rPr>
          <w:rStyle w:val="CharStyle3"/>
        </w:rPr>
        <w:t xml:space="preserve">части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статьи </w:t>
      </w:r>
      <w:r>
        <w:rPr>
          <w:rStyle w:val="CharStyle3"/>
          <w:lang w:val="en-US" w:eastAsia="en-US"/>
        </w:rPr>
        <w:t xml:space="preserve">33 </w:t>
      </w:r>
      <w:r>
        <w:rPr>
          <w:rStyle w:val="CharStyle3"/>
        </w:rPr>
        <w:t xml:space="preserve">Закона о контрактной системе описание объекта закупки при осуществлении закупки работ по строительству, реконструкции, капитальному ремонту, сносу объекта капитального строительства должно содержать проектную документацию, утвержденную в порядке, установленном законодательством о градостроительной деятельности, или типовую проектную документацию, или смету на капитальный ремонт объекта капитального строительства, за исключением случая, если подготовка таких проектных документаций, сметы в соответствии с указанным законодательством не требуется, </w:t>
      </w:r>
      <w:r>
        <w:rPr>
          <w:rStyle w:val="CharStyle3"/>
          <w:lang w:val="en-US" w:eastAsia="en-US"/>
        </w:rPr>
        <w:t xml:space="preserve">&lt;…&gt;. </w:t>
      </w:r>
      <w:r>
        <w:rPr>
          <w:rStyle w:val="CharStyle3"/>
        </w:rPr>
        <w:t xml:space="preserve">Включение проектной документации в описание объекта закупки в соответствии с настоящим пунктом является надлежащим исполнением требований </w:t>
      </w:r>
      <w:r>
        <w:fldChar w:fldCharType="begin"/>
      </w:r>
      <w:r>
        <w:rPr/>
        <w:instrText> HYPERLINK "https://www.consultant.ru/document/cons_doc_LAW_494990/d6aec91603ff628ea274b8552ce2849e06e0aa4c/%23dst335" </w:instrText>
      </w:r>
      <w:r>
        <w:fldChar w:fldCharType="separate"/>
      </w:r>
      <w:r>
        <w:rPr>
          <w:rStyle w:val="CharStyle3"/>
        </w:rPr>
        <w:t xml:space="preserve">пунктов </w:t>
      </w:r>
      <w:r>
        <w:rPr>
          <w:rStyle w:val="CharStyle3"/>
          <w:lang w:val="en-US" w:eastAsia="en-US"/>
        </w:rPr>
        <w:t xml:space="preserve">1 </w:t>
      </w:r>
      <w:r>
        <w:fldChar w:fldCharType="end"/>
      </w:r>
      <w:r>
        <w:rPr>
          <w:rStyle w:val="CharStyle3"/>
          <w:lang w:val="en-US" w:eastAsia="en-US"/>
        </w:rPr>
        <w:t xml:space="preserve">- </w:t>
      </w:r>
      <w:r>
        <w:fldChar w:fldCharType="begin"/>
      </w:r>
      <w:r>
        <w:rPr/>
        <w:instrText> HYPERLINK "https://www.consultant.ru/document/cons_doc_LAW_494990/d6aec91603ff628ea274b8552ce2849e06e0aa4c/%23dst135" </w:instrText>
      </w:r>
      <w:r>
        <w:fldChar w:fldCharType="separate"/>
      </w:r>
      <w:r>
        <w:rPr>
          <w:rStyle w:val="CharStyle3"/>
          <w:lang w:val="en-US" w:eastAsia="en-US"/>
        </w:rPr>
        <w:t>3</w:t>
      </w:r>
      <w:r>
        <w:fldChar w:fldCharType="end"/>
      </w:r>
      <w:r>
        <w:rPr>
          <w:rStyle w:val="CharStyle3"/>
          <w:lang w:val="en-US" w:eastAsia="en-US"/>
        </w:rPr>
        <w:t xml:space="preserve"> </w:t>
      </w:r>
      <w:r>
        <w:rPr>
          <w:rStyle w:val="CharStyle3"/>
        </w:rPr>
        <w:t>настоящей части,</w:t>
      </w:r>
      <w:r>
        <w:fldChar w:fldCharType="begin"/>
      </w:r>
      <w:r>
        <w:rPr/>
        <w:instrText> HYPERLINK "https://www.consultant.ru/document/cons_doc_LAW_494990/d6aec91603ff628ea274b8552ce2849e06e0aa4c/%23dst2234" </w:instrText>
      </w:r>
      <w:r>
        <w:fldChar w:fldCharType="separate"/>
      </w:r>
      <w:r>
        <w:rPr>
          <w:rStyle w:val="CharStyle3"/>
        </w:rPr>
        <w:t xml:space="preserve"> части </w:t>
      </w:r>
      <w:r>
        <w:rPr>
          <w:rStyle w:val="CharStyle3"/>
          <w:lang w:val="en-US" w:eastAsia="en-US"/>
        </w:rPr>
        <w:t>2</w:t>
      </w:r>
      <w:r>
        <w:fldChar w:fldCharType="end"/>
      </w:r>
      <w:r>
        <w:rPr>
          <w:rStyle w:val="CharStyle3"/>
          <w:lang w:val="en-US" w:eastAsia="en-US"/>
        </w:rPr>
        <w:t xml:space="preserve"> </w:t>
      </w:r>
      <w:r>
        <w:rPr>
          <w:rStyle w:val="CharStyle3"/>
        </w:rPr>
        <w:t>настоящей статьи.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Вышеназванные требования при осуществлении закупки </w:t>
      </w:r>
      <w:r>
        <w:rPr>
          <w:rStyle w:val="CharStyle3"/>
          <w:lang w:val="en-US" w:eastAsia="en-US"/>
        </w:rPr>
        <w:t xml:space="preserve">№0891200000625007435 </w:t>
      </w:r>
      <w:r>
        <w:rPr>
          <w:rStyle w:val="CharStyle3"/>
        </w:rPr>
        <w:t xml:space="preserve">заказчиком соблюдены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>в составе извещения о закупке размещены локально-сметные расчеты, ведомость объемов работ, определяющие виды и объемы работ, выполнение которых необходимо в рамках спорной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Вопреки доводам заявителя, описание объекта закупки не содержит требований к соотнесению подрядчиком работ при их выполнении с работами по иным контрактам с иными подрядчиками на объекте заказчика. Согласно п. </w:t>
      </w:r>
      <w:r>
        <w:rPr>
          <w:rStyle w:val="CharStyle3"/>
          <w:lang w:val="en-US" w:eastAsia="en-US"/>
        </w:rPr>
        <w:t xml:space="preserve">5.1.9 </w:t>
      </w:r>
      <w:r>
        <w:rPr>
          <w:rStyle w:val="CharStyle3"/>
        </w:rPr>
        <w:t xml:space="preserve">проекта контракта заказчиком приняты на себя обязательства «со дня заключения Контракта осуществлять </w:t>
      </w:r>
      <w:r>
        <w:rPr>
          <w:rStyle w:val="CharStyle3"/>
          <w:u w:val="single"/>
        </w:rPr>
        <w:t>содействие Подрядчику</w:t>
      </w:r>
      <w:r>
        <w:rPr>
          <w:rStyle w:val="CharStyle3"/>
        </w:rPr>
        <w:t xml:space="preserve"> в исполнении им своих обязательств по Контракту, а также </w:t>
      </w:r>
      <w:r>
        <w:rPr>
          <w:rStyle w:val="CharStyle3"/>
          <w:u w:val="single"/>
        </w:rPr>
        <w:t>осуществлять действия, позволяющие Подрядчику приступить к выполнению работ и своевременно выполнить работы,</w:t>
      </w:r>
      <w:r>
        <w:rPr>
          <w:rStyle w:val="CharStyle3"/>
        </w:rPr>
        <w:t xml:space="preserve"> если в соответствии с законодательством Российской Федерации осуществление таких действий возложено на Заказчика». Таким образом, анализируя доводы заявителя, Комиссия приходит к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3"/>
        </w:rPr>
        <w:t>выводу, что принятие заказчиком решения о проведении одновременно нескольких закупок на выполнение работ по капитальному ремонту объекта само по себе не противоречит законодательству о контрактной системе, вместе с тем, именно на заказчика возлагает обеспечение согласования с подрядчиками графиков выполнения работ с учетом технологии производства работ на объекте и контроль за их соблюдением.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Требования к участникам закупки установлены исходя из объекта закупки и его стоимости, в соответствии со статьей </w:t>
      </w:r>
      <w:r>
        <w:rPr>
          <w:rStyle w:val="CharStyle3"/>
          <w:lang w:val="en-US" w:eastAsia="en-US"/>
        </w:rPr>
        <w:t xml:space="preserve">31 </w:t>
      </w:r>
      <w:r>
        <w:rPr>
          <w:rStyle w:val="CharStyle3"/>
        </w:rPr>
        <w:t>Закона о контрактной системе.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Требования Закона о контрактной системе к выбору способа закупки (ст. </w:t>
      </w:r>
      <w:r>
        <w:rPr>
          <w:rStyle w:val="CharStyle3"/>
          <w:lang w:val="en-US" w:eastAsia="en-US"/>
        </w:rPr>
        <w:t xml:space="preserve">24) </w:t>
      </w:r>
      <w:r>
        <w:rPr>
          <w:rStyle w:val="CharStyle3"/>
        </w:rPr>
        <w:t>заказчиком не нарушены. При этом Комиссия разделяет позицию заказчика об отсутствии в законодательстве о контрактной системе понятия «искусственного дробления закупки» применительно к проведению электронного аукциона.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На основании изложенного, Комиссия не усматривает в действиях заказчика и уполномоченного учреждения нарушений требований Закона о контрактной системе при осуществлении закупки </w:t>
      </w:r>
      <w:r>
        <w:rPr>
          <w:rStyle w:val="CharStyle3"/>
          <w:lang w:val="en-US" w:eastAsia="en-US"/>
        </w:rPr>
        <w:t>№0891200000625007435.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 xml:space="preserve">Исходя из изложенного, руководствуясь Постановлением Правительства Российской Федерации от </w:t>
      </w:r>
      <w:r>
        <w:rPr>
          <w:rStyle w:val="CharStyle3"/>
          <w:lang w:val="en-US" w:eastAsia="en-US"/>
        </w:rPr>
        <w:t xml:space="preserve">26.08.2013 №728 </w:t>
      </w:r>
      <w:r>
        <w:rPr>
          <w:rStyle w:val="CharStyle3"/>
        </w:rPr>
        <w:t xml:space="preserve">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 частью </w:t>
      </w:r>
      <w:r>
        <w:rPr>
          <w:rStyle w:val="CharStyle3"/>
          <w:lang w:val="en-US" w:eastAsia="en-US"/>
        </w:rPr>
        <w:t xml:space="preserve">8 </w:t>
      </w:r>
      <w:r>
        <w:rPr>
          <w:rStyle w:val="CharStyle3"/>
        </w:rPr>
        <w:t xml:space="preserve">статьи </w:t>
      </w:r>
      <w:r>
        <w:rPr>
          <w:rStyle w:val="CharStyle3"/>
          <w:lang w:val="en-US" w:eastAsia="en-US"/>
        </w:rPr>
        <w:t xml:space="preserve">106, </w:t>
      </w:r>
      <w:r>
        <w:rPr>
          <w:rStyle w:val="CharStyle3"/>
        </w:rPr>
        <w:t xml:space="preserve">пунктом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 xml:space="preserve">части </w:t>
      </w:r>
      <w:r>
        <w:rPr>
          <w:rStyle w:val="CharStyle3"/>
          <w:lang w:val="en-US" w:eastAsia="en-US"/>
        </w:rPr>
        <w:t xml:space="preserve">15 </w:t>
      </w:r>
      <w:r>
        <w:rPr>
          <w:rStyle w:val="CharStyle3"/>
        </w:rPr>
        <w:t xml:space="preserve">статьи </w:t>
      </w:r>
      <w:r>
        <w:rPr>
          <w:rStyle w:val="CharStyle3"/>
          <w:lang w:val="en-US" w:eastAsia="en-US"/>
        </w:rPr>
        <w:t xml:space="preserve">99 </w:t>
      </w:r>
      <w:r>
        <w:rPr>
          <w:rStyle w:val="CharStyle3"/>
        </w:rPr>
        <w:t>Закона о контрактной системе, комиссия,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rStyle w:val="CharStyle3"/>
          <w:b/>
          <w:bCs/>
        </w:rPr>
        <w:t>Р Е Ш И Л А: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both"/>
      </w:pPr>
      <w:r>
        <w:rPr>
          <w:rStyle w:val="CharStyle3"/>
          <w:lang w:val="en-US" w:eastAsia="en-US"/>
        </w:rPr>
        <w:t xml:space="preserve">1. </w:t>
      </w:r>
      <w:r>
        <w:rPr>
          <w:rStyle w:val="CharStyle3"/>
        </w:rPr>
        <w:t>Признать жалобу ООО «Амелис» необоснованной.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rStyle w:val="CharStyle3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66" w:right="536" w:bottom="1178" w:left="110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44500" distB="215900" distL="0" distR="0" simplePos="0" relativeHeight="125829378" behindDoc="0" locked="0" layoutInCell="1" allowOverlap="1">
                <wp:simplePos x="0" y="0"/>
                <wp:positionH relativeFrom="page">
                  <wp:posOffset>741045</wp:posOffset>
                </wp:positionH>
                <wp:positionV relativeFrom="paragraph">
                  <wp:posOffset>444500</wp:posOffset>
                </wp:positionV>
                <wp:extent cx="1822450" cy="25019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24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2" w:name="bookmark2"/>
                            <w:r>
                              <w:rPr>
                                <w:rStyle w:val="CharStyle17"/>
                              </w:rPr>
                              <w:t>Председатель комиссии</w:t>
                            </w:r>
                            <w:bookmarkEnd w:id="2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8.350000000000001pt;margin-top:35.pt;width:143.5pt;height:19.699999999999999pt;z-index:-125829375;mso-wrap-distance-left:0;mso-wrap-distance-top:35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2" w:name="bookmark2"/>
                      <w:r>
                        <w:rPr>
                          <w:rStyle w:val="CharStyle17"/>
                        </w:rPr>
                        <w:t>Председатель комиссии</w:t>
                      </w:r>
                      <w:bookmarkEnd w:id="2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14350" distB="0" distL="0" distR="1786255" simplePos="0" relativeHeight="125829380" behindDoc="0" locked="0" layoutInCell="1" allowOverlap="1">
            <wp:simplePos x="0" y="0"/>
            <wp:positionH relativeFrom="page">
              <wp:posOffset>2658110</wp:posOffset>
            </wp:positionH>
            <wp:positionV relativeFrom="paragraph">
              <wp:posOffset>514350</wp:posOffset>
            </wp:positionV>
            <wp:extent cx="359410" cy="396240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3078480</wp:posOffset>
                </wp:positionH>
                <wp:positionV relativeFrom="paragraph">
                  <wp:posOffset>602615</wp:posOffset>
                </wp:positionV>
                <wp:extent cx="1722120" cy="25908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42.40000000000001pt;margin-top:47.450000000000003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444500" distB="215900" distL="0" distR="0" simplePos="0" relativeHeight="125829381" behindDoc="0" locked="0" layoutInCell="1" allowOverlap="1">
                <wp:simplePos x="0" y="0"/>
                <wp:positionH relativeFrom="page">
                  <wp:posOffset>6254750</wp:posOffset>
                </wp:positionH>
                <wp:positionV relativeFrom="paragraph">
                  <wp:posOffset>444500</wp:posOffset>
                </wp:positionV>
                <wp:extent cx="932815" cy="25019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3281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bookmarkStart w:id="4" w:name="bookmark4"/>
                            <w:r>
                              <w:rPr>
                                <w:rStyle w:val="CharStyle17"/>
                              </w:rPr>
                              <w:t>М.Б. Гойгов</w:t>
                            </w:r>
                            <w:bookmarkEnd w:id="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92.5pt;margin-top:35.pt;width:73.450000000000003pt;height:19.699999999999999pt;z-index:-125829372;mso-wrap-distance-left:0;mso-wrap-distance-top:35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bookmarkStart w:id="4" w:name="bookmark4"/>
                      <w:r>
                        <w:rPr>
                          <w:rStyle w:val="CharStyle17"/>
                        </w:rPr>
                        <w:t>М.Б. Гойгов</w:t>
                      </w:r>
                      <w:bookmarkEnd w:id="4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</w:pPr>
      <w:r>
        <w:rPr>
          <w:rStyle w:val="CharStyle28"/>
          <w:color w:val="FFFFFF"/>
        </w:rPr>
        <w:t>СВЕДЕНИЯ О СЕРТИФИКАТЕ ЭП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Кому выдан: </w:t>
      </w:r>
      <w:r>
        <w:rPr>
          <w:rStyle w:val="CharStyle30"/>
          <w:color w:val="000000"/>
        </w:rPr>
        <w:t>Гонгов Микаил Багаудинович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Сертификат </w:t>
      </w:r>
      <w:r>
        <w:rPr>
          <w:rStyle w:val="CharStyle30"/>
          <w:color w:val="292929"/>
        </w:rPr>
        <w:t xml:space="preserve">№ </w:t>
      </w:r>
      <w:r>
        <w:rPr>
          <w:rStyle w:val="CharStyle30"/>
          <w:lang w:val="en-US" w:eastAsia="en-US"/>
        </w:rPr>
        <w:t>6B7D33BE8CC0C94FF020A9BF5C07A7FA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Действителен с 08.10.2024 </w:t>
      </w:r>
      <w:r>
        <w:rPr>
          <w:rStyle w:val="CharStyle30"/>
          <w:color w:val="5C5C5C"/>
        </w:rPr>
        <w:t>по 01</w:t>
      </w:r>
      <w:r>
        <w:rPr>
          <w:rStyle w:val="CharStyle30"/>
          <w:color w:val="292929"/>
        </w:rPr>
        <w:t>.01</w:t>
      </w:r>
      <w:r>
        <w:rPr>
          <w:rStyle w:val="CharStyle30"/>
        </w:rPr>
        <w:t>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46" w:bottom="2628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78460" distL="0" distR="0" simplePos="0" relativeHeight="125829383" behindDoc="0" locked="0" layoutInCell="1" allowOverlap="1">
                <wp:simplePos x="0" y="0"/>
                <wp:positionH relativeFrom="page">
                  <wp:posOffset>737870</wp:posOffset>
                </wp:positionH>
                <wp:positionV relativeFrom="paragraph">
                  <wp:posOffset>88900</wp:posOffset>
                </wp:positionV>
                <wp:extent cx="1341120" cy="2527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8" w:name="bookmark8"/>
                            <w:r>
                              <w:rPr>
                                <w:rStyle w:val="CharStyle17"/>
                              </w:rPr>
                              <w:t>Члены комиссии:</w:t>
                            </w:r>
                            <w:bookmarkEnd w:id="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8.100000000000001pt;margin-top:7.pt;width:105.60000000000001pt;height:19.900000000000002pt;z-index:-125829370;mso-wrap-distance-left:0;mso-wrap-distance-top:7.pt;mso-wrap-distance-right:0;mso-wrap-distance-bottom:29.800000000000001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8" w:name="bookmark8"/>
                      <w:r>
                        <w:rPr>
                          <w:rStyle w:val="CharStyle17"/>
                        </w:rPr>
                        <w:t>Члены комиссии:</w:t>
                      </w:r>
                      <w:bookmarkEnd w:id="8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1925" distB="36830" distL="0" distR="1786255" simplePos="0" relativeHeight="125829385" behindDoc="0" locked="0" layoutInCell="1" allowOverlap="1">
            <wp:simplePos x="0" y="0"/>
            <wp:positionH relativeFrom="page">
              <wp:posOffset>2658110</wp:posOffset>
            </wp:positionH>
            <wp:positionV relativeFrom="paragraph">
              <wp:posOffset>161925</wp:posOffset>
            </wp:positionV>
            <wp:extent cx="359410" cy="52451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3118485</wp:posOffset>
                </wp:positionH>
                <wp:positionV relativeFrom="paragraph">
                  <wp:posOffset>567055</wp:posOffset>
                </wp:positionV>
                <wp:extent cx="1283335" cy="100330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9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45.55000000000001pt;margin-top:44.649999999999999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9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3078480</wp:posOffset>
                </wp:positionH>
                <wp:positionV relativeFrom="paragraph">
                  <wp:posOffset>250190</wp:posOffset>
                </wp:positionV>
                <wp:extent cx="1722120" cy="25908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2.40000000000001pt;margin-top:19.699999999999999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12445" distB="635" distL="0" distR="0" simplePos="0" relativeHeight="125829386" behindDoc="0" locked="0" layoutInCell="1" allowOverlap="1">
                <wp:simplePos x="0" y="0"/>
                <wp:positionH relativeFrom="page">
                  <wp:posOffset>6120765</wp:posOffset>
                </wp:positionH>
                <wp:positionV relativeFrom="paragraph">
                  <wp:posOffset>512445</wp:posOffset>
                </wp:positionV>
                <wp:extent cx="1073150" cy="20701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3150" cy="2070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10" w:name="bookmark10"/>
                            <w:r>
                              <w:rPr>
                                <w:rStyle w:val="CharStyle17"/>
                              </w:rPr>
                              <w:t>А.О. Осипова</w:t>
                            </w:r>
                            <w:bookmarkEnd w:id="10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81.94999999999999pt;margin-top:40.350000000000001pt;width:84.5pt;height:16.300000000000001pt;z-index:-125829367;mso-wrap-distance-left:0;mso-wrap-distance-top:40.350000000000001pt;mso-wrap-distance-right:0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10" w:name="bookmark10"/>
                      <w:r>
                        <w:rPr>
                          <w:rStyle w:val="CharStyle17"/>
                        </w:rPr>
                        <w:t>А.О. Осипова</w:t>
                      </w:r>
                      <w:bookmarkEnd w:id="10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Кому выдан: </w:t>
      </w:r>
      <w:r>
        <w:rPr>
          <w:rStyle w:val="CharStyle30"/>
          <w:color w:val="000000"/>
        </w:rPr>
        <w:t>Осипова Анна Олеговна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Сертификат </w:t>
      </w:r>
      <w:r>
        <w:rPr>
          <w:rStyle w:val="CharStyle30"/>
          <w:color w:val="292929"/>
        </w:rPr>
        <w:t xml:space="preserve">№ </w:t>
      </w:r>
      <w:r>
        <w:rPr>
          <w:rStyle w:val="CharStyle30"/>
          <w:lang w:val="en-US" w:eastAsia="en-US"/>
        </w:rPr>
        <w:t>67623B647A866373412268098DE31969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46" w:bottom="2628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30"/>
        </w:rPr>
        <w:t>Действителен с 02.1</w:t>
      </w:r>
      <w:r>
        <w:rPr>
          <w:rStyle w:val="CharStyle30"/>
          <w:color w:val="292929"/>
        </w:rPr>
        <w:t>1</w:t>
      </w:r>
      <w:r>
        <w:rPr>
          <w:rStyle w:val="CharStyle30"/>
        </w:rPr>
        <w:t xml:space="preserve">.2024 </w:t>
      </w:r>
      <w:r>
        <w:rPr>
          <w:rStyle w:val="CharStyle30"/>
          <w:color w:val="5C5C5C"/>
        </w:rPr>
        <w:t xml:space="preserve">по </w:t>
      </w:r>
      <w:r>
        <w:rPr>
          <w:rStyle w:val="CharStyle30"/>
        </w:rPr>
        <w:t>26.01.2026</w:t>
      </w:r>
    </w:p>
    <w:p>
      <w:pPr>
        <w:widowControl w:val="0"/>
        <w:spacing w:before="39" w:after="3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0" w:bottom="97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 w:val="0"/>
        <w:keepLines w:val="0"/>
        <w:framePr w:w="2021" w:h="158" w:wrap="none" w:vAnchor="text" w:hAnchor="page" w:x="4912" w:y="659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rStyle w:val="CharStyle19"/>
          <w:color w:val="FFFFFF"/>
          <w:sz w:val="12"/>
          <w:szCs w:val="12"/>
        </w:rPr>
        <w:t>СВЕДЕНИЯ О СЕРТИФИКАТЕ ЭП</w:t>
      </w:r>
    </w:p>
    <w:p>
      <w:pPr>
        <w:pStyle w:val="Style18"/>
        <w:keepNext w:val="0"/>
        <w:keepLines w:val="0"/>
        <w:framePr w:w="2712" w:h="408" w:wrap="none" w:vAnchor="text" w:hAnchor="page" w:x="4849" w:y="1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9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widowControl w:val="0"/>
        <w:spacing w:line="360" w:lineRule="exact"/>
      </w:pPr>
      <w:r>
        <w:drawing>
          <wp:anchor distT="0" distB="0" distL="0" distR="1786255" simplePos="0" relativeHeight="62914694" behindDoc="1" locked="0" layoutInCell="1" allowOverlap="1">
            <wp:simplePos x="0" y="0"/>
            <wp:positionH relativeFrom="page">
              <wp:posOffset>2658110</wp:posOffset>
            </wp:positionH>
            <wp:positionV relativeFrom="paragraph">
              <wp:posOffset>12700</wp:posOffset>
            </wp:positionV>
            <wp:extent cx="359410" cy="524510"/>
            <wp:wrapNone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460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46" w:bottom="976" w:left="110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88" behindDoc="0" locked="0" layoutInCell="1" allowOverlap="1">
                <wp:simplePos x="0" y="0"/>
                <wp:positionH relativeFrom="page">
                  <wp:posOffset>6166485</wp:posOffset>
                </wp:positionH>
                <wp:positionV relativeFrom="paragraph">
                  <wp:posOffset>186055</wp:posOffset>
                </wp:positionV>
                <wp:extent cx="1024255" cy="250190"/>
                <wp:wrapSquare wrapText="bothSides"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425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35"/>
                              </w:rPr>
                              <w:t>И.С. Китаева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85.55000000000001pt;margin-top:14.65pt;width:80.650000000000006pt;height:19.699999999999999pt;z-index:-12582936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35"/>
                        </w:rPr>
                        <w:t>И.С. Китаева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0"/>
        </w:rPr>
        <w:t xml:space="preserve">Кому выдан: </w:t>
      </w:r>
      <w:r>
        <w:rPr>
          <w:rStyle w:val="CharStyle30"/>
          <w:color w:val="000000"/>
        </w:rPr>
        <w:t>Китаева Ирина Сергеевна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Сертификат </w:t>
      </w:r>
      <w:r>
        <w:rPr>
          <w:rStyle w:val="CharStyle30"/>
          <w:color w:val="292929"/>
        </w:rPr>
        <w:t xml:space="preserve">№ </w:t>
      </w:r>
      <w:r>
        <w:rPr>
          <w:rStyle w:val="CharStyle30"/>
          <w:lang w:val="en-US" w:eastAsia="en-US"/>
        </w:rPr>
        <w:t>6B90505E0489D0993F619ABD3D55A0E2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2192" w:bottom="1110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30"/>
        </w:rPr>
        <w:t xml:space="preserve">Действителен с 31.01.2025 </w:t>
      </w:r>
      <w:r>
        <w:rPr>
          <w:rStyle w:val="CharStyle30"/>
          <w:color w:val="5C5C5C"/>
        </w:rPr>
        <w:t xml:space="preserve">по </w:t>
      </w:r>
      <w:r>
        <w:rPr>
          <w:rStyle w:val="CharStyle30"/>
        </w:rPr>
        <w:t>26.04.2026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lang w:val="en-US" w:eastAsia="en-US"/>
        </w:rPr>
        <w:t>2025-4141</w:t>
      </w:r>
    </w:p>
    <w:sectPr>
      <w:footerReference w:type="default" r:id="rId13"/>
      <w:footnotePr>
        <w:pos w:val="pageBottom"/>
        <w:numFmt w:val="decimal"/>
        <w:numRestart w:val="continuous"/>
      </w:footnotePr>
      <w:pgSz w:w="11900" w:h="16840"/>
      <w:pgMar w:top="15682" w:right="2191" w:bottom="616" w:left="1107" w:header="15254" w:footer="188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10008870</wp:posOffset>
              </wp:positionV>
              <wp:extent cx="636905" cy="12827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2025-4141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649999999999999pt;margin-top:788.10000000000002pt;width:50.149999999999999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2025-4141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9851390</wp:posOffset>
              </wp:positionV>
              <wp:extent cx="636905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2025-4141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6.75pt;margin-top:775.70000000000005pt;width:50.149999999999999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2025-4141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9">
    <w:name w:val="Body text (3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096"/>
      <w:sz w:val="16"/>
      <w:szCs w:val="16"/>
      <w:u w:val="none"/>
    </w:rPr>
  </w:style>
  <w:style w:type="character" w:customStyle="1" w:styleId="CharStyle12">
    <w:name w:val="Heading #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5">
    <w:name w:val="Body text (6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096"/>
      <w:sz w:val="19"/>
      <w:szCs w:val="19"/>
      <w:u w:val="none"/>
    </w:rPr>
  </w:style>
  <w:style w:type="character" w:customStyle="1" w:styleId="CharStyle17">
    <w:name w:val="Heading #3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9">
    <w:name w:val="Picture caption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3">
    <w:name w:val="Heading #1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  <w:lang w:val="en-US" w:eastAsia="en-US"/>
    </w:rPr>
  </w:style>
  <w:style w:type="character" w:customStyle="1" w:styleId="CharStyle28">
    <w:name w:val="Body text (4)_"/>
    <w:basedOn w:val="DefaultParagraphFont"/>
    <w:link w:val="Style2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30">
    <w:name w:val="Body text (2)_"/>
    <w:basedOn w:val="DefaultParagraphFont"/>
    <w:link w:val="Style29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character" w:customStyle="1" w:styleId="CharStyle35">
    <w:name w:val="Body text (5)_"/>
    <w:basedOn w:val="DefaultParagraphFont"/>
    <w:link w:val="Style3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styleId="Style2">
    <w:name w:val="Body text"/>
    <w:basedOn w:val="Normal"/>
    <w:link w:val="CharStyle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8">
    <w:name w:val="Body text (3)"/>
    <w:basedOn w:val="Normal"/>
    <w:link w:val="CharStyle9"/>
    <w:pPr>
      <w:widowControl w:val="0"/>
      <w:shd w:val="clear" w:color="auto" w:fill="auto"/>
      <w:spacing w:after="60" w:line="283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096"/>
      <w:sz w:val="16"/>
      <w:szCs w:val="16"/>
      <w:u w:val="none"/>
    </w:rPr>
  </w:style>
  <w:style w:type="paragraph" w:customStyle="1" w:styleId="Style11">
    <w:name w:val="Heading #2"/>
    <w:basedOn w:val="Normal"/>
    <w:link w:val="CharStyle12"/>
    <w:pPr>
      <w:widowControl w:val="0"/>
      <w:shd w:val="clear" w:color="auto" w:fill="auto"/>
      <w:spacing w:after="34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4">
    <w:name w:val="Body text (6)"/>
    <w:basedOn w:val="Normal"/>
    <w:link w:val="CharStyle15"/>
    <w:pPr>
      <w:widowControl w:val="0"/>
      <w:shd w:val="clear" w:color="auto" w:fill="auto"/>
      <w:spacing w:after="620" w:line="25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096"/>
      <w:sz w:val="19"/>
      <w:szCs w:val="19"/>
      <w:u w:val="none"/>
    </w:rPr>
  </w:style>
  <w:style w:type="paragraph" w:customStyle="1" w:styleId="Style16">
    <w:name w:val="Heading #3"/>
    <w:basedOn w:val="Normal"/>
    <w:link w:val="CharStyle17"/>
    <w:pPr>
      <w:widowControl w:val="0"/>
      <w:shd w:val="clear" w:color="auto" w:fill="auto"/>
      <w:outlineLvl w:val="2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8">
    <w:name w:val="Picture caption"/>
    <w:basedOn w:val="Normal"/>
    <w:link w:val="CharStyle1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2">
    <w:name w:val="Heading #1"/>
    <w:basedOn w:val="Normal"/>
    <w:link w:val="CharStyle23"/>
    <w:pPr>
      <w:widowControl w:val="0"/>
      <w:shd w:val="clear" w:color="auto" w:fill="auto"/>
      <w:spacing w:after="30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0"/>
      <w:szCs w:val="50"/>
      <w:u w:val="none"/>
      <w:lang w:val="en-US" w:eastAsia="en-US"/>
    </w:rPr>
  </w:style>
  <w:style w:type="paragraph" w:customStyle="1" w:styleId="Style27">
    <w:name w:val="Body text (4)"/>
    <w:basedOn w:val="Normal"/>
    <w:link w:val="CharStyle28"/>
    <w:pPr>
      <w:widowControl w:val="0"/>
      <w:shd w:val="clear" w:color="auto" w:fill="auto"/>
      <w:spacing w:after="10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9">
    <w:name w:val="Body text (2)"/>
    <w:basedOn w:val="Normal"/>
    <w:link w:val="CharStyle30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34">
    <w:name w:val="Body text (5)"/>
    <w:basedOn w:val="Normal"/>
    <w:link w:val="CharStyle35"/>
    <w:pPr>
      <w:widowControl w:val="0"/>
      <w:shd w:val="clear" w:color="auto" w:fill="auto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footer" Target="footer3.xml"/></Relationships>
</file>