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36" w:bottom="846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Иркутской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ул. Российская, 17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664025, г.Иркутск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0"/>
        <w:jc w:val="center"/>
      </w:pPr>
      <w:r>
        <w:rPr>
          <w:rStyle w:val="CharStyle6"/>
        </w:rPr>
        <w:t>тел. (3952) 24-32-31, факс (3952) 24-32-26</w:t>
        <w:br/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"mailto:to38@fas.gov.ru"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to38@fas.gov.ru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8.08.2025</w:t>
        <w:tab/>
      </w:r>
      <w:r>
        <w:fldChar w:fldCharType="end"/>
      </w:r>
      <w:r>
        <w:rPr>
          <w:rStyle w:val="CharStyle10"/>
        </w:rPr>
        <w:t>№ 038/5005/25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253" w:val="left"/>
        </w:tabs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12"/>
          <w:b/>
          <w:bCs/>
          <w:sz w:val="22"/>
          <w:szCs w:val="22"/>
          <w:u w:val="single"/>
        </w:rPr>
        <w:t>Заказчик:</w:t>
        <w:tab/>
      </w:r>
      <w:r>
        <w:rPr>
          <w:rStyle w:val="CharStyle12"/>
          <w:i/>
          <w:iCs/>
          <w:sz w:val="22"/>
          <w:szCs w:val="22"/>
          <w:u w:val="single"/>
        </w:rPr>
        <w:t xml:space="preserve">О </w:t>
      </w:r>
      <w:r>
        <w:rPr>
          <w:rStyle w:val="CharStyle12"/>
          <w:b/>
          <w:bCs/>
          <w:i/>
          <w:iCs/>
          <w:sz w:val="22"/>
          <w:szCs w:val="22"/>
          <w:u w:val="single"/>
        </w:rPr>
        <w:t>ГБУЗ «Иркутская городская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12"/>
          <w:b/>
          <w:bCs/>
          <w:i/>
          <w:iCs/>
          <w:sz w:val="22"/>
          <w:szCs w:val="22"/>
          <w:u w:val="single"/>
        </w:rPr>
        <w:t>клиническая больница № 1»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12"/>
          <w:sz w:val="22"/>
          <w:szCs w:val="22"/>
        </w:rPr>
        <w:t>664050, г. Иркутск, ул. Байкальская, д. 118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614" w:val="left"/>
          <w:tab w:pos="2266" w:val="left"/>
        </w:tabs>
        <w:bidi w:val="0"/>
        <w:spacing w:before="0" w:after="0" w:line="254" w:lineRule="exact"/>
        <w:ind w:left="0" w:right="0" w:firstLine="0"/>
        <w:jc w:val="both"/>
        <w:rPr>
          <w:sz w:val="22"/>
          <w:szCs w:val="22"/>
        </w:rPr>
      </w:pPr>
      <w:r>
        <w:rPr>
          <w:rStyle w:val="CharStyle12"/>
          <w:rFonts w:ascii="MS Gothic" w:eastAsia="MS Gothic" w:hAnsi="MS Gothic" w:cs="MS Gothic"/>
          <w:sz w:val="22"/>
          <w:szCs w:val="22"/>
          <w:u w:val="single"/>
          <w:vertAlign w:val="superscript"/>
        </w:rPr>
        <w:t>н</w:t>
      </w:r>
      <w:r>
        <w:rPr>
          <w:rStyle w:val="CharStyle12"/>
          <w:rFonts w:ascii="MS Gothic" w:eastAsia="MS Gothic" w:hAnsi="MS Gothic" w:cs="MS Gothic"/>
          <w:sz w:val="22"/>
          <w:szCs w:val="22"/>
          <w:u w:val="single"/>
        </w:rPr>
        <w:tab/>
      </w:r>
      <w:r>
        <w:rPr>
          <w:rStyle w:val="CharStyle12"/>
          <w:i/>
          <w:iCs/>
          <w:sz w:val="22"/>
          <w:szCs w:val="22"/>
          <w:u w:val="single"/>
          <w:lang w:val="en-US" w:eastAsia="en-US"/>
        </w:rPr>
        <w:t xml:space="preserve">nskb </w:t>
      </w:r>
      <w:r>
        <w:rPr>
          <w:rStyle w:val="CharStyle12"/>
          <w:i/>
          <w:iCs/>
          <w:sz w:val="22"/>
          <w:szCs w:val="22"/>
          <w:u w:val="single"/>
        </w:rPr>
        <w:t xml:space="preserve">1 </w:t>
      </w:r>
      <w:r>
        <w:rPr>
          <w:rStyle w:val="CharStyle12"/>
          <w:i/>
          <w:iCs/>
          <w:sz w:val="22"/>
          <w:szCs w:val="22"/>
          <w:u w:val="single"/>
          <w:lang w:val="en-US" w:eastAsia="en-US"/>
        </w:rPr>
        <w:t>@.</w:t>
      </w:r>
      <w:r>
        <w:rPr>
          <w:rStyle w:val="CharStyle12"/>
          <w:i/>
          <w:iCs/>
          <w:sz w:val="22"/>
          <w:szCs w:val="22"/>
          <w:u w:val="single"/>
          <w:lang w:val="en-US" w:eastAsia="en-US"/>
        </w:rPr>
        <w:t>bk.ru</w:t>
      </w:r>
      <w:r>
        <w:rPr>
          <w:rStyle w:val="CharStyle12"/>
          <w:sz w:val="22"/>
          <w:szCs w:val="22"/>
        </w:rPr>
        <w:t>;</w:t>
        <w:tab/>
      </w:r>
      <w:r>
        <w:rPr>
          <w:rStyle w:val="CharStyle12"/>
          <w:i/>
          <w:iCs/>
          <w:sz w:val="22"/>
          <w:szCs w:val="22"/>
          <w:u w:val="single"/>
          <w:lang w:val="en-US" w:eastAsia="en-US"/>
        </w:rPr>
        <w:t xml:space="preserve">kkkuprsssasha </w:t>
      </w:r>
      <w:r>
        <w:rPr>
          <w:rStyle w:val="CharStyle12"/>
          <w:i/>
          <w:iCs/>
          <w:sz w:val="22"/>
          <w:szCs w:val="22"/>
          <w:u w:val="single"/>
        </w:rPr>
        <w:t xml:space="preserve">@,у </w:t>
      </w:r>
      <w:r>
        <w:rPr>
          <w:rStyle w:val="CharStyle12"/>
          <w:i/>
          <w:iCs/>
          <w:sz w:val="22"/>
          <w:szCs w:val="22"/>
          <w:u w:val="single"/>
          <w:lang w:val="en-US" w:eastAsia="en-US"/>
        </w:rPr>
        <w:t>andex</w:t>
      </w:r>
      <w:r>
        <w:rPr>
          <w:rStyle w:val="CharStyle12"/>
          <w:i/>
          <w:iCs/>
          <w:sz w:val="22"/>
          <w:szCs w:val="22"/>
          <w:u w:val="single"/>
        </w:rPr>
        <w:t xml:space="preserve">. </w:t>
      </w:r>
      <w:r>
        <w:rPr>
          <w:rStyle w:val="CharStyle12"/>
          <w:i/>
          <w:iCs/>
          <w:sz w:val="22"/>
          <w:szCs w:val="22"/>
          <w:u w:val="single"/>
          <w:lang w:val="en-US" w:eastAsia="en-US"/>
        </w:rPr>
        <w:t>ru</w:t>
      </w:r>
      <w:r>
        <w:rPr>
          <w:rStyle w:val="CharStyle12"/>
          <w:color w:val="334059"/>
          <w:sz w:val="22"/>
          <w:szCs w:val="22"/>
          <w:lang w:val="en-US" w:eastAsia="en-US"/>
        </w:rPr>
        <w:t>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  <w:rPr>
          <w:sz w:val="22"/>
          <w:szCs w:val="22"/>
        </w:rPr>
      </w:pPr>
      <w:r>
        <w:fldChar w:fldCharType="begin"/>
      </w:r>
      <w:r>
        <w:rPr/>
        <w:instrText> HYPERLINK "mailto:em.igkb1@yandex.ru" </w:instrText>
      </w:r>
      <w:r>
        <w:fldChar w:fldCharType="separate"/>
      </w:r>
      <w:r>
        <w:rPr>
          <w:rStyle w:val="CharStyle12"/>
          <w:i/>
          <w:iCs/>
          <w:sz w:val="22"/>
          <w:szCs w:val="22"/>
          <w:lang w:val="en-US" w:eastAsia="en-US"/>
        </w:rPr>
        <w:t>em.igkb1@yandex.ru</w:t>
      </w:r>
      <w:r>
        <w:fldChar w:fldCharType="end"/>
      </w:r>
      <w:r>
        <w:rPr>
          <w:rStyle w:val="CharStyle12"/>
          <w:i/>
          <w:iCs/>
          <w:sz w:val="22"/>
          <w:szCs w:val="22"/>
          <w:lang w:val="en-US" w:eastAsia="en-US"/>
        </w:rPr>
        <w:t>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2"/>
          <w:b/>
          <w:bCs/>
          <w:sz w:val="22"/>
          <w:szCs w:val="22"/>
          <w:u w:val="single"/>
        </w:rPr>
        <w:t xml:space="preserve">Комиссия по осуществлению закупок </w:t>
      </w:r>
      <w:r>
        <w:rPr>
          <w:rStyle w:val="CharStyle12"/>
          <w:i/>
          <w:iCs/>
          <w:sz w:val="22"/>
          <w:szCs w:val="22"/>
          <w:u w:val="single"/>
        </w:rPr>
        <w:t>в составе: Казимир М.Н., Метревели А.П., Деменская В.Ю., Куприянова А.Д., Малых Е.В.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12"/>
          <w:b/>
          <w:bCs/>
          <w:sz w:val="22"/>
          <w:szCs w:val="22"/>
          <w:u w:val="single"/>
        </w:rPr>
        <w:t xml:space="preserve">Заявитель: </w:t>
      </w:r>
      <w:r>
        <w:rPr>
          <w:rStyle w:val="CharStyle12"/>
          <w:i/>
          <w:iCs/>
          <w:sz w:val="22"/>
          <w:szCs w:val="22"/>
          <w:u w:val="single"/>
        </w:rPr>
        <w:t>ООО «Алтайпроукт»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12"/>
          <w:i/>
          <w:iCs/>
          <w:sz w:val="22"/>
          <w:szCs w:val="22"/>
          <w:lang w:val="en-US" w:eastAsia="en-US"/>
        </w:rPr>
        <w:t xml:space="preserve">659077, </w:t>
      </w:r>
      <w:r>
        <w:rPr>
          <w:rStyle w:val="CharStyle12"/>
          <w:i/>
          <w:iCs/>
          <w:sz w:val="22"/>
          <w:szCs w:val="22"/>
        </w:rPr>
        <w:t xml:space="preserve">Алтайский край, м.р-н Топчихинский, Победимский сельсовет, п. Победим, ул. Привокзальная, д. </w:t>
      </w:r>
      <w:r>
        <w:rPr>
          <w:rStyle w:val="CharStyle12"/>
          <w:i/>
          <w:iCs/>
          <w:sz w:val="22"/>
          <w:szCs w:val="22"/>
          <w:lang w:val="en-US" w:eastAsia="en-US"/>
        </w:rPr>
        <w:t xml:space="preserve">10, </w:t>
      </w:r>
      <w:r>
        <w:rPr>
          <w:rStyle w:val="CharStyle12"/>
          <w:i/>
          <w:iCs/>
          <w:sz w:val="22"/>
          <w:szCs w:val="22"/>
        </w:rPr>
        <w:t xml:space="preserve">кв. </w:t>
      </w:r>
      <w:r>
        <w:rPr>
          <w:rStyle w:val="CharStyle12"/>
          <w:i/>
          <w:iCs/>
          <w:sz w:val="22"/>
          <w:szCs w:val="22"/>
          <w:lang w:val="en-US" w:eastAsia="en-US"/>
        </w:rPr>
        <w:t>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exact"/>
        <w:ind w:left="0" w:right="0" w:firstLine="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60" w:bottom="1092" w:left="1140" w:header="0" w:footer="3" w:gutter="0"/>
          <w:cols w:num="2" w:space="720" w:equalWidth="0">
            <w:col w:w="4234" w:space="1099"/>
            <w:col w:w="4867"/>
          </w:cols>
          <w:noEndnote/>
          <w:rtlGutter w:val="0"/>
          <w:docGrid w:linePitch="360"/>
        </w:sectPr>
      </w:pPr>
      <w:r>
        <w:rPr>
          <w:rStyle w:val="CharStyle12"/>
          <w:rFonts w:ascii="MS Gothic" w:eastAsia="MS Gothic" w:hAnsi="MS Gothic" w:cs="MS Gothic"/>
          <w:sz w:val="22"/>
          <w:szCs w:val="22"/>
          <w:u w:val="single"/>
        </w:rPr>
        <w:t>и</w:t>
      </w:r>
      <w:r>
        <w:rPr>
          <w:rStyle w:val="CharStyle12"/>
          <w:rFonts w:ascii="MS Gothic" w:eastAsia="MS Gothic" w:hAnsi="MS Gothic" w:cs="MS Gothic"/>
          <w:sz w:val="22"/>
          <w:szCs w:val="22"/>
        </w:rPr>
        <w:t xml:space="preserve"> </w:t>
      </w:r>
      <w:r>
        <w:fldChar w:fldCharType="begin"/>
      </w:r>
      <w:r>
        <w:rPr/>
        <w:instrText> HYPERLINK "mailto:aprod24@mail.ru" </w:instrText>
      </w:r>
      <w:r>
        <w:fldChar w:fldCharType="separate"/>
      </w:r>
      <w:r>
        <w:rPr>
          <w:rStyle w:val="CharStyle12"/>
          <w:lang w:val="en-US" w:eastAsia="en-US"/>
        </w:rPr>
        <w:t>aprod24@mail.ru</w:t>
      </w:r>
      <w:r>
        <w:fldChar w:fldCharType="end"/>
      </w:r>
      <w:r>
        <w:rPr>
          <w:rStyle w:val="CharStyle12"/>
          <w:sz w:val="22"/>
          <w:szCs w:val="22"/>
          <w:lang w:val="en-US" w:eastAsia="en-US"/>
        </w:rPr>
        <w:t>;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0" w:after="2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0" w:bottom="12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rStyle w:val="CharStyle22"/>
        </w:rPr>
        <w:t>РЕШЕНИЕ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12"/>
        </w:rPr>
        <w:t>Резолютивная часть решения объявлена 28 августа 2025 г.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– Комиссия) в составе: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>Председатель Комиссии: Ларин И.И. – заместитель руководителя – начальник отдела контроля закупок Иркутского УФАС России;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>Члены Комиссии: Караульская О.В. – ведущий специалист-эксперт отдела контроля закупок Иркутского УФАС России; Бардаханов В.А. – ведущий специалист-эксперт отдела контроля закупок Иркутского УФАС России;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>При участии представителя ООО " Алтайпроукт " (далее – Заявитель) – Дианова В.В. (доверенность от 16.07.2025), представителя ОГБУЗ «Иркутская городская клиническая больница № 1» (далее – заказчик) - Федосеевой И.С. (доверенность от 10.01.2025)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rStyle w:val="CharStyle24"/>
        </w:rPr>
        <w:t>рассмотрев жалобу Заявителя на действия комиссии по осуществлению закупок, связанные с проведением электронного аукциона для закупки № 1034200002925000358 «Поставка специализированных продуктов питания», в порядке, предусмотренном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по тексту – Федеральный закон № 44-ФЗ), и в результате проведения внеплановой проверки в соответствии со статьей 99 Федерального закона № 44-ФЗ,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rStyle w:val="CharStyle22"/>
        </w:rPr>
        <w:t>УСТАНОВИЛА:</w:t>
      </w:r>
      <w:bookmarkEnd w:id="4"/>
    </w:p>
    <w:p>
      <w:pPr>
        <w:widowControl w:val="0"/>
        <w:spacing w:after="557" w:line="1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298575" cy="35369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98575" cy="3536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в Иркутское УФАС России </w:t>
      </w:r>
      <w:r>
        <w:rPr>
          <w:rStyle w:val="CharStyle24"/>
          <w:lang w:val="en-US" w:eastAsia="en-US"/>
        </w:rPr>
        <w:t xml:space="preserve">21 </w:t>
      </w:r>
      <w:r>
        <w:rPr>
          <w:rStyle w:val="CharStyle24"/>
        </w:rPr>
        <w:t xml:space="preserve">августа </w:t>
      </w:r>
      <w:r>
        <w:rPr>
          <w:rStyle w:val="CharStyle24"/>
          <w:lang w:val="en-US" w:eastAsia="en-US"/>
        </w:rPr>
        <w:t xml:space="preserve">2025 </w:t>
      </w:r>
      <w:r>
        <w:rPr>
          <w:rStyle w:val="CharStyle24"/>
        </w:rPr>
        <w:t xml:space="preserve">года поступила жалоба Заявителя на действия комиссии при проведении Электронного аукциона </w:t>
      </w:r>
      <w:r>
        <w:rPr>
          <w:rStyle w:val="CharStyle24"/>
          <w:lang w:val="en-US" w:eastAsia="en-US"/>
        </w:rPr>
        <w:t xml:space="preserve">№ 1034200002925000358 </w:t>
      </w:r>
      <w:r>
        <w:rPr>
          <w:rStyle w:val="CharStyle24"/>
        </w:rPr>
        <w:t>«Поставка специализированных продуктов питания»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>Заявитель жалобы ООО «Алайпродукт» просит признать требование о предоставлении копии экспертного заключения в составе заявки не правомерным; признать отклонение ООО «Алтайпродукт» не правомерным.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24"/>
        </w:rPr>
        <w:t>Заказчиком представлены возражения на жалобу заявителя, исходя из которых заказчик считает доводы жалобы необоснованными.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В ходе рассмотрения жалобы Комиссией установлено, что </w:t>
      </w:r>
      <w:r>
        <w:rPr>
          <w:rStyle w:val="CharStyle24"/>
          <w:lang w:val="en-US" w:eastAsia="en-US"/>
        </w:rPr>
        <w:t xml:space="preserve">12.08.2025 </w:t>
      </w:r>
      <w:r>
        <w:rPr>
          <w:rStyle w:val="CharStyle24"/>
        </w:rPr>
        <w:t xml:space="preserve">года в единой информационной системе в сфере закупок, на сайте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24"/>
          <w:lang w:val="en-US" w:eastAsia="en-US"/>
        </w:rPr>
        <w:t>www.zakupki.gov.ru</w:t>
      </w:r>
      <w:r>
        <w:fldChar w:fldCharType="end"/>
      </w:r>
      <w:r>
        <w:rPr>
          <w:rStyle w:val="CharStyle24"/>
          <w:lang w:val="en-US" w:eastAsia="en-US"/>
        </w:rPr>
        <w:t xml:space="preserve"> </w:t>
      </w:r>
      <w:r>
        <w:rPr>
          <w:rStyle w:val="CharStyle24"/>
        </w:rPr>
        <w:t xml:space="preserve">(далее </w:t>
      </w:r>
      <w:r>
        <w:rPr>
          <w:rStyle w:val="CharStyle24"/>
          <w:lang w:val="en-US" w:eastAsia="en-US"/>
        </w:rPr>
        <w:t xml:space="preserve">– </w:t>
      </w:r>
      <w:r>
        <w:rPr>
          <w:rStyle w:val="CharStyle24"/>
        </w:rPr>
        <w:t xml:space="preserve">ЕИС) размещено Извещение об осуществлении электронного аукциона для закупки </w:t>
      </w:r>
      <w:r>
        <w:rPr>
          <w:rStyle w:val="CharStyle24"/>
          <w:lang w:val="en-US" w:eastAsia="en-US"/>
        </w:rPr>
        <w:t xml:space="preserve">№ 1034200002925000358 </w:t>
      </w:r>
      <w:r>
        <w:rPr>
          <w:rStyle w:val="CharStyle24"/>
        </w:rPr>
        <w:t>«Поставка специализированных продуктов питания».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Начальная (максимальная) цена контракта составляет </w:t>
      </w:r>
      <w:r>
        <w:rPr>
          <w:rStyle w:val="CharStyle24"/>
          <w:lang w:val="en-US" w:eastAsia="en-US"/>
        </w:rPr>
        <w:t xml:space="preserve">986 000,00 </w:t>
      </w:r>
      <w:r>
        <w:rPr>
          <w:rStyle w:val="CharStyle24"/>
        </w:rPr>
        <w:t>рублей.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24"/>
        </w:rPr>
        <w:t xml:space="preserve">Согласно Протокол подведения итогов определения поставщика (подрядчика, исполнителя) от </w:t>
      </w:r>
      <w:r>
        <w:rPr>
          <w:rStyle w:val="CharStyle24"/>
          <w:lang w:val="en-US" w:eastAsia="en-US"/>
        </w:rPr>
        <w:t xml:space="preserve">21.08.2025 </w:t>
      </w:r>
      <w:r>
        <w:rPr>
          <w:rStyle w:val="CharStyle24"/>
        </w:rPr>
        <w:t xml:space="preserve">№ИЭА1 на участие в электронном аукционе было подано </w:t>
      </w:r>
      <w:r>
        <w:rPr>
          <w:rStyle w:val="CharStyle24"/>
          <w:lang w:val="en-US" w:eastAsia="en-US"/>
        </w:rPr>
        <w:t xml:space="preserve">3 </w:t>
      </w:r>
      <w:r>
        <w:rPr>
          <w:rStyle w:val="CharStyle24"/>
        </w:rPr>
        <w:t xml:space="preserve">заявки. </w:t>
      </w:r>
      <w:r>
        <w:rPr>
          <w:rStyle w:val="CharStyle24"/>
          <w:lang w:val="en-US" w:eastAsia="en-US"/>
        </w:rPr>
        <w:t xml:space="preserve">2 </w:t>
      </w:r>
      <w:r>
        <w:rPr>
          <w:rStyle w:val="CharStyle24"/>
        </w:rPr>
        <w:t xml:space="preserve">заявки признаны соответствующими требованиям извещения. По результатам подведения итогов определения поставщика (подрядчика, исполнителя) Победителем аукциона признается участник закупки идентификационный </w:t>
      </w:r>
      <w:r>
        <w:rPr>
          <w:rStyle w:val="CharStyle24"/>
          <w:lang w:val="en-US" w:eastAsia="en-US"/>
        </w:rPr>
        <w:t xml:space="preserve">№ 119462054, </w:t>
      </w:r>
      <w:r>
        <w:rPr>
          <w:rStyle w:val="CharStyle24"/>
        </w:rPr>
        <w:t xml:space="preserve">с ценовым предложением </w:t>
      </w:r>
      <w:r>
        <w:rPr>
          <w:rStyle w:val="CharStyle24"/>
          <w:lang w:val="en-US" w:eastAsia="en-US"/>
        </w:rPr>
        <w:t xml:space="preserve">315 520,00 </w:t>
      </w:r>
      <w:r>
        <w:rPr>
          <w:rStyle w:val="CharStyle24"/>
        </w:rPr>
        <w:t xml:space="preserve">руб. (снижение Начальной (максимальной) цены контракта составило </w:t>
      </w:r>
      <w:r>
        <w:rPr>
          <w:rStyle w:val="CharStyle24"/>
          <w:lang w:val="en-US" w:eastAsia="en-US"/>
        </w:rPr>
        <w:t>68,5%)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>Комиссия, исследовав материалы дела, доводы Заявителя, возражения Заказчика, приходит к следующему выводу на основании следующего.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24"/>
          <w:lang w:val="en-US" w:eastAsia="en-US"/>
        </w:rPr>
        <w:t xml:space="preserve">21.08.2025 </w:t>
      </w:r>
      <w:r>
        <w:rPr>
          <w:rStyle w:val="CharStyle24"/>
        </w:rPr>
        <w:t xml:space="preserve">№ИЭА1 на участие в закупке подано </w:t>
      </w:r>
      <w:r>
        <w:rPr>
          <w:rStyle w:val="CharStyle24"/>
          <w:lang w:val="en-US" w:eastAsia="en-US"/>
        </w:rPr>
        <w:t xml:space="preserve">3 </w:t>
      </w:r>
      <w:r>
        <w:rPr>
          <w:rStyle w:val="CharStyle24"/>
        </w:rPr>
        <w:t>заявки, одна заявка отклонена.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Заявка Заявителя отклонена за Несоответствие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</w:t>
      </w:r>
      <w:r>
        <w:rPr>
          <w:rStyle w:val="CharStyle24"/>
          <w:lang w:val="en-US" w:eastAsia="en-US"/>
        </w:rPr>
        <w:t xml:space="preserve">2 </w:t>
      </w:r>
      <w:r>
        <w:rPr>
          <w:rStyle w:val="CharStyle24"/>
        </w:rPr>
        <w:t xml:space="preserve">и </w:t>
      </w:r>
      <w:r>
        <w:rPr>
          <w:rStyle w:val="CharStyle24"/>
          <w:lang w:val="en-US" w:eastAsia="en-US"/>
        </w:rPr>
        <w:t xml:space="preserve">3 </w:t>
      </w:r>
      <w:r>
        <w:rPr>
          <w:rStyle w:val="CharStyle24"/>
        </w:rPr>
        <w:t xml:space="preserve">ч. </w:t>
      </w:r>
      <w:r>
        <w:rPr>
          <w:rStyle w:val="CharStyle24"/>
          <w:lang w:val="en-US" w:eastAsia="en-US"/>
        </w:rPr>
        <w:t xml:space="preserve">6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43 </w:t>
      </w:r>
      <w:r>
        <w:rPr>
          <w:rStyle w:val="CharStyle24"/>
        </w:rPr>
        <w:t xml:space="preserve">Закона </w:t>
      </w:r>
      <w:r>
        <w:rPr>
          <w:rStyle w:val="CharStyle24"/>
          <w:lang w:val="en-US" w:eastAsia="en-US"/>
        </w:rPr>
        <w:t xml:space="preserve">№ </w:t>
      </w:r>
      <w:r>
        <w:rPr>
          <w:rStyle w:val="CharStyle24"/>
        </w:rPr>
        <w:t xml:space="preserve">44-ФЗ) (Отклонение по п. </w:t>
      </w:r>
      <w:r>
        <w:rPr>
          <w:rStyle w:val="CharStyle24"/>
          <w:lang w:val="en-US" w:eastAsia="en-US"/>
        </w:rPr>
        <w:t xml:space="preserve">1 </w:t>
      </w:r>
      <w:r>
        <w:rPr>
          <w:rStyle w:val="CharStyle24"/>
        </w:rPr>
        <w:t xml:space="preserve">ч. </w:t>
      </w:r>
      <w:r>
        <w:rPr>
          <w:rStyle w:val="CharStyle24"/>
          <w:lang w:val="en-US" w:eastAsia="en-US"/>
        </w:rPr>
        <w:t xml:space="preserve">12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48 </w:t>
      </w:r>
      <w:r>
        <w:rPr>
          <w:rStyle w:val="CharStyle24"/>
        </w:rPr>
        <w:t xml:space="preserve">Федерального закона </w:t>
      </w:r>
      <w:r>
        <w:rPr>
          <w:rStyle w:val="CharStyle24"/>
          <w:lang w:val="en-US" w:eastAsia="en-US"/>
        </w:rPr>
        <w:t xml:space="preserve">№ </w:t>
      </w:r>
      <w:r>
        <w:rPr>
          <w:rStyle w:val="CharStyle24"/>
        </w:rPr>
        <w:t>44-ФЗ)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Согласно пп. «а» п. </w:t>
      </w:r>
      <w:r>
        <w:rPr>
          <w:rStyle w:val="CharStyle24"/>
          <w:lang w:val="en-US" w:eastAsia="en-US"/>
        </w:rPr>
        <w:t xml:space="preserve">1 </w:t>
      </w:r>
      <w:r>
        <w:rPr>
          <w:rStyle w:val="CharStyle24"/>
        </w:rPr>
        <w:t xml:space="preserve">ч. </w:t>
      </w:r>
      <w:r>
        <w:rPr>
          <w:rStyle w:val="CharStyle24"/>
          <w:lang w:val="en-US" w:eastAsia="en-US"/>
        </w:rPr>
        <w:t xml:space="preserve">5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49 </w:t>
      </w:r>
      <w:r>
        <w:rPr>
          <w:rStyle w:val="CharStyle24"/>
        </w:rPr>
        <w:t xml:space="preserve">Федерального закона </w:t>
      </w:r>
      <w:r>
        <w:rPr>
          <w:rStyle w:val="CharStyle24"/>
          <w:lang w:val="en-US" w:eastAsia="en-US"/>
        </w:rPr>
        <w:t xml:space="preserve">№ </w:t>
      </w:r>
      <w:r>
        <w:rPr>
          <w:rStyle w:val="CharStyle24"/>
        </w:rPr>
        <w:t>44-ФЗ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2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>члены комиссии по осуществлению закупок: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24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24"/>
          <w:lang w:val="en-US" w:eastAsia="en-US"/>
        </w:rPr>
        <w:t xml:space="preserve">4 </w:t>
      </w:r>
      <w:r>
        <w:rPr>
          <w:rStyle w:val="CharStyle24"/>
        </w:rPr>
        <w:t xml:space="preserve">части </w:t>
      </w:r>
      <w:r>
        <w:rPr>
          <w:rStyle w:val="CharStyle24"/>
          <w:lang w:val="en-US" w:eastAsia="en-US"/>
        </w:rPr>
        <w:t xml:space="preserve">4 </w:t>
      </w:r>
      <w:r>
        <w:rPr>
          <w:rStyle w:val="CharStyle24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24"/>
          <w:lang w:val="en-US" w:eastAsia="en-US"/>
        </w:rPr>
        <w:t xml:space="preserve">1 - 8 </w:t>
      </w:r>
      <w:r>
        <w:rPr>
          <w:rStyle w:val="CharStyle24"/>
        </w:rPr>
        <w:t xml:space="preserve">части </w:t>
      </w:r>
      <w:r>
        <w:rPr>
          <w:rStyle w:val="CharStyle24"/>
          <w:lang w:val="en-US" w:eastAsia="en-US"/>
        </w:rPr>
        <w:t xml:space="preserve">12 </w:t>
      </w:r>
      <w:r>
        <w:rPr>
          <w:rStyle w:val="CharStyle24"/>
        </w:rPr>
        <w:t xml:space="preserve">статьи </w:t>
      </w:r>
      <w:r>
        <w:rPr>
          <w:rStyle w:val="CharStyle24"/>
          <w:lang w:val="en-US" w:eastAsia="en-US"/>
        </w:rPr>
        <w:t xml:space="preserve">48 </w:t>
      </w:r>
      <w:r>
        <w:rPr>
          <w:rStyle w:val="CharStyle24"/>
        </w:rPr>
        <w:t xml:space="preserve">Федерального закона </w:t>
      </w:r>
      <w:r>
        <w:rPr>
          <w:rStyle w:val="CharStyle24"/>
          <w:lang w:val="en-US" w:eastAsia="en-US"/>
        </w:rPr>
        <w:t xml:space="preserve">№ </w:t>
      </w:r>
      <w:r>
        <w:rPr>
          <w:rStyle w:val="CharStyle24"/>
        </w:rPr>
        <w:t>44-ФЗ.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В силу ч. </w:t>
      </w:r>
      <w:r>
        <w:rPr>
          <w:rStyle w:val="CharStyle24"/>
          <w:lang w:val="en-US" w:eastAsia="en-US"/>
        </w:rPr>
        <w:t xml:space="preserve">12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48 </w:t>
      </w:r>
      <w:r>
        <w:rPr>
          <w:rStyle w:val="CharStyle24"/>
        </w:rPr>
        <w:t xml:space="preserve">Федерального закона </w:t>
      </w:r>
      <w:r>
        <w:rPr>
          <w:rStyle w:val="CharStyle24"/>
          <w:lang w:val="en-US" w:eastAsia="en-US"/>
        </w:rPr>
        <w:t xml:space="preserve">№ </w:t>
      </w:r>
      <w:r>
        <w:rPr>
          <w:rStyle w:val="CharStyle24"/>
        </w:rPr>
        <w:t>44-ФЗ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24"/>
          <w:lang w:val="en-US" w:eastAsia="en-US"/>
        </w:rPr>
        <w:t xml:space="preserve">2 </w:t>
      </w:r>
      <w:r>
        <w:rPr>
          <w:rStyle w:val="CharStyle24"/>
        </w:rPr>
        <w:t xml:space="preserve">и </w:t>
      </w:r>
      <w:r>
        <w:rPr>
          <w:rStyle w:val="CharStyle24"/>
          <w:lang w:val="en-US" w:eastAsia="en-US"/>
        </w:rPr>
        <w:t xml:space="preserve">3 </w:t>
      </w:r>
      <w:r>
        <w:rPr>
          <w:rStyle w:val="CharStyle24"/>
        </w:rPr>
        <w:t xml:space="preserve">части </w:t>
      </w:r>
      <w:r>
        <w:rPr>
          <w:rStyle w:val="CharStyle24"/>
          <w:lang w:val="en-US" w:eastAsia="en-US"/>
        </w:rPr>
        <w:t xml:space="preserve">6 </w:t>
      </w:r>
      <w:r>
        <w:rPr>
          <w:rStyle w:val="CharStyle24"/>
        </w:rPr>
        <w:t xml:space="preserve">статьи </w:t>
      </w:r>
      <w:r>
        <w:rPr>
          <w:rStyle w:val="CharStyle24"/>
          <w:lang w:val="en-US" w:eastAsia="en-US"/>
        </w:rPr>
        <w:t xml:space="preserve">43 </w:t>
      </w:r>
      <w:r>
        <w:rPr>
          <w:rStyle w:val="CharStyle24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непредставления информации и документов, предусмотренных пунктами </w:t>
      </w:r>
      <w:r>
        <w:rPr>
          <w:rStyle w:val="CharStyle24"/>
          <w:lang w:val="en-US" w:eastAsia="en-US"/>
        </w:rPr>
        <w:t xml:space="preserve">2 </w:t>
      </w:r>
      <w:r>
        <w:rPr>
          <w:rStyle w:val="CharStyle24"/>
        </w:rPr>
        <w:t xml:space="preserve">и </w:t>
      </w:r>
      <w:r>
        <w:rPr>
          <w:rStyle w:val="CharStyle24"/>
          <w:lang w:val="en-US" w:eastAsia="en-US"/>
        </w:rPr>
        <w:t xml:space="preserve">3 </w:t>
      </w:r>
      <w:r>
        <w:rPr>
          <w:rStyle w:val="CharStyle24"/>
        </w:rPr>
        <w:t xml:space="preserve">части </w:t>
      </w:r>
      <w:r>
        <w:rPr>
          <w:rStyle w:val="CharStyle24"/>
          <w:lang w:val="en-US" w:eastAsia="en-US"/>
        </w:rPr>
        <w:t xml:space="preserve">6 </w:t>
      </w:r>
      <w:r>
        <w:rPr>
          <w:rStyle w:val="CharStyle24"/>
        </w:rPr>
        <w:t xml:space="preserve">статьи </w:t>
      </w:r>
      <w:r>
        <w:rPr>
          <w:rStyle w:val="CharStyle24"/>
          <w:lang w:val="en-US" w:eastAsia="en-US"/>
        </w:rPr>
        <w:t xml:space="preserve">43 </w:t>
      </w:r>
      <w:r>
        <w:rPr>
          <w:rStyle w:val="CharStyle24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24"/>
          <w:lang w:val="en-US" w:eastAsia="en-US"/>
        </w:rPr>
        <w:t xml:space="preserve">1 </w:t>
      </w:r>
      <w:r>
        <w:rPr>
          <w:rStyle w:val="CharStyle24"/>
        </w:rPr>
        <w:t xml:space="preserve">статьи </w:t>
      </w:r>
      <w:r>
        <w:rPr>
          <w:rStyle w:val="CharStyle24"/>
          <w:lang w:val="en-US" w:eastAsia="en-US"/>
        </w:rPr>
        <w:t xml:space="preserve">31 </w:t>
      </w:r>
      <w:r>
        <w:rPr>
          <w:rStyle w:val="CharStyle24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24"/>
          <w:lang w:val="en-US" w:eastAsia="en-US"/>
        </w:rPr>
        <w:t xml:space="preserve">1.1, 2 </w:t>
      </w:r>
      <w:r>
        <w:rPr>
          <w:rStyle w:val="CharStyle24"/>
        </w:rPr>
        <w:t xml:space="preserve">и </w:t>
      </w:r>
      <w:r>
        <w:rPr>
          <w:rStyle w:val="CharStyle24"/>
          <w:lang w:val="en-US" w:eastAsia="en-US"/>
        </w:rPr>
        <w:t xml:space="preserve">2.1 </w:t>
      </w:r>
      <w:r>
        <w:rPr>
          <w:rStyle w:val="CharStyle24"/>
        </w:rPr>
        <w:t xml:space="preserve">(при наличии таких требований) статьи </w:t>
      </w:r>
      <w:r>
        <w:rPr>
          <w:rStyle w:val="CharStyle24"/>
          <w:lang w:val="en-US" w:eastAsia="en-US"/>
        </w:rPr>
        <w:t xml:space="preserve">31 </w:t>
      </w:r>
      <w:r>
        <w:rPr>
          <w:rStyle w:val="CharStyle24"/>
        </w:rPr>
        <w:t>настоящего Федерального закона;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24"/>
          <w:lang w:val="en-US" w:eastAsia="en-US"/>
        </w:rPr>
        <w:t xml:space="preserve">14 </w:t>
      </w:r>
      <w:r>
        <w:rPr>
          <w:rStyle w:val="CharStyle24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24"/>
          <w:lang w:val="en-US" w:eastAsia="en-US"/>
        </w:rPr>
        <w:t xml:space="preserve">5 </w:t>
      </w:r>
      <w:r>
        <w:rPr>
          <w:rStyle w:val="CharStyle24"/>
        </w:rPr>
        <w:t xml:space="preserve">части </w:t>
      </w:r>
      <w:r>
        <w:rPr>
          <w:rStyle w:val="CharStyle24"/>
          <w:lang w:val="en-US" w:eastAsia="en-US"/>
        </w:rPr>
        <w:t xml:space="preserve">1 </w:t>
      </w:r>
      <w:r>
        <w:rPr>
          <w:rStyle w:val="CharStyle24"/>
        </w:rPr>
        <w:t xml:space="preserve">статьи </w:t>
      </w:r>
      <w:r>
        <w:rPr>
          <w:rStyle w:val="CharStyle24"/>
          <w:lang w:val="en-US" w:eastAsia="en-US"/>
        </w:rPr>
        <w:t xml:space="preserve">43 </w:t>
      </w:r>
      <w:r>
        <w:rPr>
          <w:rStyle w:val="CharStyle24"/>
        </w:rPr>
        <w:t>настоящего Федерального закона);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непредставления информации и документов, предусмотренных пунктом </w:t>
      </w:r>
      <w:r>
        <w:rPr>
          <w:rStyle w:val="CharStyle24"/>
          <w:lang w:val="en-US" w:eastAsia="en-US"/>
        </w:rPr>
        <w:t xml:space="preserve">5 </w:t>
      </w:r>
      <w:r>
        <w:rPr>
          <w:rStyle w:val="CharStyle24"/>
        </w:rPr>
        <w:t xml:space="preserve">части </w:t>
      </w:r>
      <w:r>
        <w:rPr>
          <w:rStyle w:val="CharStyle24"/>
          <w:lang w:val="en-US" w:eastAsia="en-US"/>
        </w:rPr>
        <w:t xml:space="preserve">1 </w:t>
      </w:r>
      <w:r>
        <w:rPr>
          <w:rStyle w:val="CharStyle24"/>
        </w:rPr>
        <w:t xml:space="preserve">статьи </w:t>
      </w:r>
      <w:r>
        <w:rPr>
          <w:rStyle w:val="CharStyle24"/>
          <w:lang w:val="en-US" w:eastAsia="en-US"/>
        </w:rPr>
        <w:t xml:space="preserve">43 </w:t>
      </w:r>
      <w:r>
        <w:rPr>
          <w:rStyle w:val="CharStyle24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24"/>
          <w:lang w:val="en-US" w:eastAsia="en-US"/>
        </w:rPr>
        <w:t xml:space="preserve">3 </w:t>
      </w:r>
      <w:r>
        <w:rPr>
          <w:rStyle w:val="CharStyle24"/>
        </w:rPr>
        <w:t xml:space="preserve">статьи </w:t>
      </w:r>
      <w:r>
        <w:rPr>
          <w:rStyle w:val="CharStyle24"/>
          <w:lang w:val="en-US" w:eastAsia="en-US"/>
        </w:rPr>
        <w:t xml:space="preserve">14 </w:t>
      </w:r>
      <w:r>
        <w:rPr>
          <w:rStyle w:val="CharStyle24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24"/>
          <w:lang w:val="en-US" w:eastAsia="en-US"/>
        </w:rPr>
        <w:t xml:space="preserve">14 </w:t>
      </w:r>
      <w:r>
        <w:rPr>
          <w:rStyle w:val="CharStyle24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24"/>
          <w:lang w:val="en-US" w:eastAsia="en-US"/>
        </w:rPr>
        <w:t xml:space="preserve">4 </w:t>
      </w:r>
      <w:r>
        <w:rPr>
          <w:rStyle w:val="CharStyle24"/>
        </w:rPr>
        <w:t xml:space="preserve">статьи </w:t>
      </w:r>
      <w:r>
        <w:rPr>
          <w:rStyle w:val="CharStyle24"/>
          <w:lang w:val="en-US" w:eastAsia="en-US"/>
        </w:rPr>
        <w:t xml:space="preserve">2 </w:t>
      </w:r>
      <w:r>
        <w:rPr>
          <w:rStyle w:val="CharStyle24"/>
        </w:rPr>
        <w:t xml:space="preserve">Федерального закона от </w:t>
      </w:r>
      <w:r>
        <w:rPr>
          <w:rStyle w:val="CharStyle24"/>
          <w:lang w:val="en-US" w:eastAsia="en-US"/>
        </w:rPr>
        <w:t xml:space="preserve">4 </w:t>
      </w:r>
      <w:r>
        <w:rPr>
          <w:rStyle w:val="CharStyle24"/>
        </w:rPr>
        <w:t xml:space="preserve">июня </w:t>
      </w:r>
      <w:r>
        <w:rPr>
          <w:rStyle w:val="CharStyle24"/>
          <w:lang w:val="en-US" w:eastAsia="en-US"/>
        </w:rPr>
        <w:t xml:space="preserve">2018 </w:t>
      </w:r>
      <w:r>
        <w:rPr>
          <w:rStyle w:val="CharStyle24"/>
        </w:rPr>
        <w:t xml:space="preserve">года </w:t>
      </w:r>
      <w:r>
        <w:rPr>
          <w:rStyle w:val="CharStyle24"/>
          <w:lang w:val="en-US" w:eastAsia="en-US"/>
        </w:rPr>
        <w:t xml:space="preserve">N </w:t>
      </w:r>
      <w:r>
        <w:rPr>
          <w:rStyle w:val="CharStyle24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предусмотренных частью </w:t>
      </w:r>
      <w:r>
        <w:rPr>
          <w:rStyle w:val="CharStyle24"/>
          <w:lang w:val="en-US" w:eastAsia="en-US"/>
        </w:rPr>
        <w:t xml:space="preserve">6 </w:t>
      </w:r>
      <w:r>
        <w:rPr>
          <w:rStyle w:val="CharStyle24"/>
        </w:rPr>
        <w:t xml:space="preserve">статьи </w:t>
      </w:r>
      <w:r>
        <w:rPr>
          <w:rStyle w:val="CharStyle24"/>
          <w:lang w:val="en-US" w:eastAsia="en-US"/>
        </w:rPr>
        <w:t xml:space="preserve">45 </w:t>
      </w:r>
      <w:r>
        <w:rPr>
          <w:rStyle w:val="CharStyle24"/>
        </w:rPr>
        <w:t>настоящего Федерального закона;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>выявления недостоверной информации, содержащейся в заявке на участие в закупке;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указания информации о предложении участника закупки, предусмотренном пунктом </w:t>
      </w:r>
      <w:r>
        <w:rPr>
          <w:rStyle w:val="CharStyle24"/>
          <w:lang w:val="en-US" w:eastAsia="en-US"/>
        </w:rPr>
        <w:t xml:space="preserve">3 </w:t>
      </w:r>
      <w:r>
        <w:rPr>
          <w:rStyle w:val="CharStyle24"/>
        </w:rPr>
        <w:t xml:space="preserve">или пунктом </w:t>
      </w:r>
      <w:r>
        <w:rPr>
          <w:rStyle w:val="CharStyle24"/>
          <w:lang w:val="en-US" w:eastAsia="en-US"/>
        </w:rPr>
        <w:t xml:space="preserve">4 </w:t>
      </w:r>
      <w:r>
        <w:rPr>
          <w:rStyle w:val="CharStyle24"/>
        </w:rPr>
        <w:t xml:space="preserve">части </w:t>
      </w:r>
      <w:r>
        <w:rPr>
          <w:rStyle w:val="CharStyle24"/>
          <w:lang w:val="en-US" w:eastAsia="en-US"/>
        </w:rPr>
        <w:t xml:space="preserve">1 </w:t>
      </w:r>
      <w:r>
        <w:rPr>
          <w:rStyle w:val="CharStyle24"/>
        </w:rPr>
        <w:t xml:space="preserve">статьи </w:t>
      </w:r>
      <w:r>
        <w:rPr>
          <w:rStyle w:val="CharStyle24"/>
          <w:lang w:val="en-US" w:eastAsia="en-US"/>
        </w:rPr>
        <w:t xml:space="preserve">43 </w:t>
      </w:r>
      <w:r>
        <w:rPr>
          <w:rStyle w:val="CharStyle24"/>
        </w:rPr>
        <w:t>настоящего Федерального закона.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Согласно п. </w:t>
      </w:r>
      <w:r>
        <w:rPr>
          <w:rStyle w:val="CharStyle24"/>
          <w:lang w:val="en-US" w:eastAsia="en-US"/>
        </w:rPr>
        <w:t xml:space="preserve">3 </w:t>
      </w:r>
      <w:r>
        <w:rPr>
          <w:rStyle w:val="CharStyle24"/>
        </w:rPr>
        <w:t xml:space="preserve">ч. </w:t>
      </w:r>
      <w:r>
        <w:rPr>
          <w:rStyle w:val="CharStyle24"/>
          <w:lang w:val="en-US" w:eastAsia="en-US"/>
        </w:rPr>
        <w:t xml:space="preserve">2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42 </w:t>
      </w:r>
      <w:r>
        <w:rPr>
          <w:rStyle w:val="CharStyle24"/>
        </w:rPr>
        <w:t xml:space="preserve">Федерального закона </w:t>
      </w:r>
      <w:r>
        <w:rPr>
          <w:rStyle w:val="CharStyle24"/>
          <w:lang w:val="en-US" w:eastAsia="en-US"/>
        </w:rPr>
        <w:t xml:space="preserve">№ </w:t>
      </w:r>
      <w:r>
        <w:rPr>
          <w:rStyle w:val="CharStyle24"/>
        </w:rPr>
        <w:t>44-ФЗ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  <w:b/>
          <w:bCs/>
        </w:rPr>
        <w:t>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>Согласно извещению к поставке требуется: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Специализированная пищевая продукция, в том числе диетическая, не включенная в другие группировки, прочая (какао с витаминами). Идентификатор: </w:t>
      </w:r>
      <w:r>
        <w:rPr>
          <w:rStyle w:val="CharStyle24"/>
          <w:lang w:val="en-US" w:eastAsia="en-US"/>
        </w:rPr>
        <w:t xml:space="preserve">188811834, </w:t>
      </w:r>
      <w:r>
        <w:rPr>
          <w:rStyle w:val="CharStyle24"/>
        </w:rPr>
        <w:t xml:space="preserve">Код позиции: </w:t>
      </w:r>
      <w:r>
        <w:rPr>
          <w:rStyle w:val="CharStyle24"/>
          <w:lang w:val="en-US" w:eastAsia="en-US"/>
        </w:rPr>
        <w:t>10.86. 10.990.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Специализированная пищевая продукция, в том числе диетическая, не включенная в другие группировки, (кисель с витаминами без пектина). Идентификатор: </w:t>
      </w:r>
      <w:r>
        <w:rPr>
          <w:rStyle w:val="CharStyle24"/>
          <w:lang w:val="en-US" w:eastAsia="en-US"/>
        </w:rPr>
        <w:t xml:space="preserve">188811835. </w:t>
      </w:r>
      <w:r>
        <w:rPr>
          <w:rStyle w:val="CharStyle24"/>
        </w:rPr>
        <w:t xml:space="preserve">Код позиции: </w:t>
      </w:r>
      <w:r>
        <w:rPr>
          <w:rStyle w:val="CharStyle24"/>
          <w:lang w:val="en-US" w:eastAsia="en-US"/>
        </w:rPr>
        <w:t>10.86, 10.990.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Специализированная пищевая продукция, в том числе диетическая, не включённая в другие группировки, (напиток чайный с витаминами). Идентификатор: </w:t>
      </w:r>
      <w:r>
        <w:rPr>
          <w:rStyle w:val="CharStyle24"/>
          <w:lang w:val="en-US" w:eastAsia="en-US"/>
        </w:rPr>
        <w:t xml:space="preserve">188811836. </w:t>
      </w:r>
      <w:r>
        <w:rPr>
          <w:rStyle w:val="CharStyle24"/>
        </w:rPr>
        <w:t xml:space="preserve">Код позиции: </w:t>
      </w:r>
      <w:r>
        <w:rPr>
          <w:rStyle w:val="CharStyle24"/>
          <w:lang w:val="en-US" w:eastAsia="en-US"/>
        </w:rPr>
        <w:t>10.86.10.990.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>Заказчиком в Приложении к извещению «Требования к содержанию, составу заявки на участие в закупке, инструкция по ее заполнению» установлено следующее: «</w:t>
      </w:r>
      <w:r>
        <w:rPr>
          <w:rStyle w:val="CharStyle24"/>
          <w:i/>
          <w:iCs/>
        </w:rPr>
        <w:t xml:space="preserve">К Заявке должны быть приложены копии экспертных заключений, на основании которых выданы Свидетельства о государственной регистрации на продукты (СГР), а также копии СГР на продукты в соответствии с ч.1. ст. </w:t>
      </w:r>
      <w:r>
        <w:rPr>
          <w:rStyle w:val="CharStyle24"/>
          <w:i/>
          <w:iCs/>
          <w:lang w:val="en-US" w:eastAsia="en-US"/>
        </w:rPr>
        <w:t xml:space="preserve">33 44- </w:t>
      </w:r>
      <w:r>
        <w:rPr>
          <w:rStyle w:val="CharStyle24"/>
          <w:i/>
          <w:iCs/>
        </w:rPr>
        <w:t>ФЗ»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Комиссией Иркутского УФАС России установлено, что в составе заявки ООО "Алтайпродукт" не представлены копии экспертных заключений, на основании которых выданы Свидетельства о государственной регистрации на продукты (СГР), в связи с чем, указанная заявка отклонена в соответствии с п. </w:t>
      </w:r>
      <w:r>
        <w:rPr>
          <w:rStyle w:val="CharStyle24"/>
          <w:lang w:val="en-US" w:eastAsia="en-US"/>
        </w:rPr>
        <w:t xml:space="preserve">1 </w:t>
      </w:r>
      <w:r>
        <w:rPr>
          <w:rStyle w:val="CharStyle24"/>
        </w:rPr>
        <w:t xml:space="preserve">ч. </w:t>
      </w:r>
      <w:r>
        <w:rPr>
          <w:rStyle w:val="CharStyle24"/>
          <w:lang w:val="en-US" w:eastAsia="en-US"/>
        </w:rPr>
        <w:t xml:space="preserve">12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48 </w:t>
      </w:r>
      <w:r>
        <w:rPr>
          <w:rStyle w:val="CharStyle24"/>
        </w:rPr>
        <w:t xml:space="preserve">Закона </w:t>
      </w:r>
      <w:r>
        <w:rPr>
          <w:rStyle w:val="CharStyle24"/>
          <w:lang w:val="en-US" w:eastAsia="en-US"/>
        </w:rPr>
        <w:t xml:space="preserve">№ </w:t>
      </w:r>
      <w:r>
        <w:rPr>
          <w:rStyle w:val="CharStyle24"/>
        </w:rPr>
        <w:t>44-ФЗ.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24"/>
        </w:rPr>
        <w:t>Доводы жалобы не нашли своего подтверждения.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Вместе с тем, Комиссия Иркутского УФАС России проведя в соответствии со ст. </w:t>
      </w:r>
      <w:r>
        <w:rPr>
          <w:rStyle w:val="CharStyle24"/>
          <w:lang w:val="en-US" w:eastAsia="en-US"/>
        </w:rPr>
        <w:t xml:space="preserve">99 </w:t>
      </w:r>
      <w:r>
        <w:rPr>
          <w:rStyle w:val="CharStyle24"/>
        </w:rPr>
        <w:t xml:space="preserve">Федерального закона </w:t>
      </w:r>
      <w:r>
        <w:rPr>
          <w:rStyle w:val="CharStyle24"/>
          <w:lang w:val="en-US" w:eastAsia="en-US"/>
        </w:rPr>
        <w:t xml:space="preserve">№ </w:t>
      </w:r>
      <w:r>
        <w:rPr>
          <w:rStyle w:val="CharStyle24"/>
        </w:rPr>
        <w:t>44-ФЗ внеплановую проверку закупки установила следующее.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В соответствии с частью </w:t>
      </w:r>
      <w:r>
        <w:rPr>
          <w:rStyle w:val="CharStyle24"/>
          <w:lang w:val="en-US" w:eastAsia="en-US"/>
        </w:rPr>
        <w:t xml:space="preserve">6 </w:t>
      </w:r>
      <w:r>
        <w:rPr>
          <w:rStyle w:val="CharStyle24"/>
        </w:rPr>
        <w:t xml:space="preserve">статьи </w:t>
      </w:r>
      <w:r>
        <w:rPr>
          <w:rStyle w:val="CharStyle24"/>
          <w:lang w:val="en-US" w:eastAsia="en-US"/>
        </w:rPr>
        <w:t xml:space="preserve">31 </w:t>
      </w:r>
      <w:r>
        <w:rPr>
          <w:rStyle w:val="CharStyle24"/>
        </w:rPr>
        <w:t xml:space="preserve">Федерального закона </w:t>
      </w:r>
      <w:r>
        <w:rPr>
          <w:rStyle w:val="CharStyle24"/>
          <w:lang w:val="en-US" w:eastAsia="en-US"/>
        </w:rPr>
        <w:t xml:space="preserve">№ </w:t>
      </w:r>
      <w:r>
        <w:rPr>
          <w:rStyle w:val="CharStyle24"/>
        </w:rPr>
        <w:t xml:space="preserve">44-ФЗ Заказчики </w:t>
      </w:r>
      <w:r>
        <w:rPr>
          <w:rStyle w:val="CharStyle24"/>
          <w:i/>
          <w:iCs/>
        </w:rPr>
        <w:t>не вправе устанавливать требования к участникам закупок в нарушение требований настоящего Федерального закона</w:t>
      </w:r>
      <w:r>
        <w:rPr>
          <w:rStyle w:val="CharStyle24"/>
        </w:rPr>
        <w:t>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Согласно пп. "в" п. </w:t>
      </w:r>
      <w:r>
        <w:rPr>
          <w:rStyle w:val="CharStyle24"/>
          <w:lang w:val="en-US" w:eastAsia="en-US"/>
        </w:rPr>
        <w:t xml:space="preserve">2 </w:t>
      </w:r>
      <w:r>
        <w:rPr>
          <w:rStyle w:val="CharStyle24"/>
        </w:rPr>
        <w:t xml:space="preserve">ч. </w:t>
      </w:r>
      <w:r>
        <w:rPr>
          <w:rStyle w:val="CharStyle24"/>
          <w:lang w:val="en-US" w:eastAsia="en-US"/>
        </w:rPr>
        <w:t xml:space="preserve">1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43 </w:t>
      </w:r>
      <w:r>
        <w:rPr>
          <w:rStyle w:val="CharStyle24"/>
        </w:rPr>
        <w:t xml:space="preserve">Федерального закона </w:t>
      </w:r>
      <w:r>
        <w:rPr>
          <w:rStyle w:val="CharStyle24"/>
          <w:lang w:val="en-US" w:eastAsia="en-US"/>
        </w:rPr>
        <w:t xml:space="preserve">№ </w:t>
      </w:r>
      <w:r>
        <w:rPr>
          <w:rStyle w:val="CharStyle24"/>
        </w:rPr>
        <w:t>44-ФЗ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закупки, в том числе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4"/>
        </w:rPr>
        <w:t>извещением об осуществлении закупки, документацией о закупке, если настоящим Федеральным законом предусмотрена документация о закупке)</w:t>
      </w:r>
      <w:r>
        <w:rPr>
          <w:rStyle w:val="CharStyle24"/>
          <w:b/>
          <w:bCs/>
          <w:i/>
          <w:iCs/>
        </w:rPr>
        <w:t>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В соответствии с ч. </w:t>
      </w:r>
      <w:r>
        <w:rPr>
          <w:rStyle w:val="CharStyle24"/>
          <w:lang w:val="en-US" w:eastAsia="en-US"/>
        </w:rPr>
        <w:t xml:space="preserve">3.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43 </w:t>
      </w:r>
      <w:r>
        <w:rPr>
          <w:rStyle w:val="CharStyle24"/>
        </w:rPr>
        <w:t xml:space="preserve">Федерального закона </w:t>
      </w:r>
      <w:r>
        <w:rPr>
          <w:rStyle w:val="CharStyle24"/>
          <w:lang w:val="en-US" w:eastAsia="en-US"/>
        </w:rPr>
        <w:t xml:space="preserve">№ </w:t>
      </w:r>
      <w:r>
        <w:rPr>
          <w:rStyle w:val="CharStyle24"/>
        </w:rPr>
        <w:t xml:space="preserve">44-ФЗ, требовать от участника закупки представления </w:t>
      </w:r>
      <w:r>
        <w:rPr>
          <w:rStyle w:val="CharStyle24"/>
          <w:b/>
          <w:bCs/>
        </w:rPr>
        <w:t>иных информации и документов</w:t>
      </w:r>
      <w:r>
        <w:rPr>
          <w:rStyle w:val="CharStyle24"/>
        </w:rPr>
        <w:t xml:space="preserve">, за исключением предусмотренных частями </w:t>
      </w:r>
      <w:r>
        <w:rPr>
          <w:rStyle w:val="CharStyle24"/>
          <w:lang w:val="en-US" w:eastAsia="en-US"/>
        </w:rPr>
        <w:t xml:space="preserve">1 </w:t>
      </w:r>
      <w:r>
        <w:rPr>
          <w:rStyle w:val="CharStyle24"/>
        </w:rPr>
        <w:t xml:space="preserve">и </w:t>
      </w:r>
      <w:r>
        <w:rPr>
          <w:rStyle w:val="CharStyle24"/>
          <w:lang w:val="en-US" w:eastAsia="en-US"/>
        </w:rPr>
        <w:t xml:space="preserve">2 </w:t>
      </w:r>
      <w:r>
        <w:rPr>
          <w:rStyle w:val="CharStyle24"/>
        </w:rPr>
        <w:t xml:space="preserve">настоящей статьи, </w:t>
      </w:r>
      <w:r>
        <w:rPr>
          <w:rStyle w:val="CharStyle24"/>
          <w:b/>
          <w:bCs/>
        </w:rPr>
        <w:t>не допускается.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>Заказчиком в Приложении к извещению «Требования к содержанию, составу заявки на участие в закупке, инструкция по ее заполнению» установлено следующее: «</w:t>
      </w:r>
      <w:r>
        <w:rPr>
          <w:rStyle w:val="CharStyle24"/>
          <w:i/>
          <w:iCs/>
        </w:rPr>
        <w:t xml:space="preserve">К Заявке должны быть приложены копии экспертных заключений, на основании которых выданы Свидетельства о государственной регистрации на продукты (СГР), а также копии СГР на продукты в соответствии с ч.1. ст. </w:t>
      </w:r>
      <w:r>
        <w:rPr>
          <w:rStyle w:val="CharStyle24"/>
          <w:i/>
          <w:iCs/>
          <w:lang w:val="en-US" w:eastAsia="en-US"/>
        </w:rPr>
        <w:t xml:space="preserve">33 44- </w:t>
      </w:r>
      <w:r>
        <w:rPr>
          <w:rStyle w:val="CharStyle24"/>
          <w:i/>
          <w:iCs/>
        </w:rPr>
        <w:t>ФЗ</w:t>
      </w:r>
      <w:r>
        <w:rPr>
          <w:rStyle w:val="CharStyle24"/>
        </w:rPr>
        <w:t>»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Специализированная пищевая продукция допускается к реализации после её государственной регистрации (ч. </w:t>
      </w:r>
      <w:r>
        <w:rPr>
          <w:rStyle w:val="CharStyle24"/>
          <w:lang w:val="en-US" w:eastAsia="en-US"/>
        </w:rPr>
        <w:t xml:space="preserve">2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24 </w:t>
      </w:r>
      <w:r>
        <w:rPr>
          <w:rStyle w:val="CharStyle24"/>
        </w:rPr>
        <w:t xml:space="preserve">ТР ТС </w:t>
      </w:r>
      <w:r>
        <w:rPr>
          <w:rStyle w:val="CharStyle24"/>
          <w:lang w:val="en-US" w:eastAsia="en-US"/>
        </w:rPr>
        <w:t xml:space="preserve">021/2011). </w:t>
      </w:r>
      <w:r>
        <w:rPr>
          <w:rStyle w:val="CharStyle24"/>
        </w:rPr>
        <w:t xml:space="preserve">Государственная регистрация специализированной пищевой продукции является формой оценки соответствия пищевой продукции. </w:t>
      </w:r>
      <w:r>
        <w:rPr>
          <w:rStyle w:val="CharStyle24"/>
          <w:b/>
          <w:bCs/>
        </w:rPr>
        <w:t>Подтверждение указанной регистрации является свидетельство о государственной регистрации продукции (СГР).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Согласно </w:t>
      </w:r>
      <w:r>
        <w:rPr>
          <w:rStyle w:val="CharStyle24"/>
          <w:b/>
          <w:bCs/>
        </w:rPr>
        <w:t xml:space="preserve">пояснениям заказчика, </w:t>
      </w:r>
      <w:r>
        <w:rPr>
          <w:rStyle w:val="CharStyle24"/>
          <w:i/>
          <w:iCs/>
          <w:u w:val="single"/>
        </w:rPr>
        <w:t>СГР не содержит сведений</w:t>
      </w:r>
      <w:r>
        <w:rPr>
          <w:rStyle w:val="CharStyle24"/>
        </w:rPr>
        <w:t xml:space="preserve"> о качественном и количественном составе в товаре, в том числе витаминов. Однако данную информацию содержат результаты исследований (испытаний) образцов специализированной пищевой продукции, проведенных в аккредитованной испытательной лаборатории, а также иные документы, подтверждающие соответствие такой продукции требованиям, установленным настоящим техническим регламентом и иными техническими регламентами Таможенного союза, действие которых на нее распространяется, которые предоставляются для государственной регистрации специализированной пищевой продукции в соответствии с нормой п. </w:t>
      </w:r>
      <w:r>
        <w:rPr>
          <w:rStyle w:val="CharStyle24"/>
          <w:lang w:val="en-US" w:eastAsia="en-US"/>
        </w:rPr>
        <w:t xml:space="preserve">2 </w:t>
      </w:r>
      <w:r>
        <w:rPr>
          <w:rStyle w:val="CharStyle24"/>
        </w:rPr>
        <w:t xml:space="preserve">ч. </w:t>
      </w:r>
      <w:r>
        <w:rPr>
          <w:rStyle w:val="CharStyle24"/>
          <w:lang w:val="en-US" w:eastAsia="en-US"/>
        </w:rPr>
        <w:t xml:space="preserve">2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25 «TP TC 021/2011 </w:t>
      </w:r>
      <w:r>
        <w:rPr>
          <w:rStyle w:val="CharStyle24"/>
        </w:rPr>
        <w:t>Технический регламент Таможенного союза. О безопасности пищевой продукции».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Исходя из того, что требование о предоставлении копии экспертных заключений, на основании которых выданы Свидетельства о государственной регистрации на продукты (СГР), необходимы Заказчику </w:t>
      </w:r>
      <w:r>
        <w:rPr>
          <w:rStyle w:val="CharStyle24"/>
          <w:b/>
          <w:bCs/>
          <w:i/>
          <w:iCs/>
        </w:rPr>
        <w:t>для возможности проверки соответствии заявленных участниками закупки продуктов требованиям извещения</w:t>
      </w:r>
      <w:r>
        <w:rPr>
          <w:rStyle w:val="CharStyle24"/>
        </w:rPr>
        <w:t xml:space="preserve"> о закупке </w:t>
      </w:r>
      <w:r>
        <w:rPr>
          <w:rStyle w:val="CharStyle24"/>
          <w:lang w:val="en-US" w:eastAsia="en-US"/>
        </w:rPr>
        <w:t xml:space="preserve">№ 1034200002925000358 </w:t>
      </w:r>
      <w:r>
        <w:rPr>
          <w:rStyle w:val="CharStyle24"/>
        </w:rPr>
        <w:t>к качественным и функциональным характеристикам товара, ввиду того, что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Из пояснений заказчика следует, что отсутствие указанной документов лишает Заказчика возможности в полной мере оценить соответствие/несоответствие представленной информации о закупаемых товарах (Например, наличие Напитке чайном: витамина </w:t>
      </w:r>
      <w:r>
        <w:rPr>
          <w:rStyle w:val="CharStyle24"/>
          <w:lang w:val="en-US" w:eastAsia="en-US"/>
        </w:rPr>
        <w:t xml:space="preserve">K1 ≥ 74.7 </w:t>
      </w:r>
      <w:r>
        <w:rPr>
          <w:rStyle w:val="CharStyle24"/>
        </w:rPr>
        <w:t xml:space="preserve">мкг; Содержание витамина </w:t>
      </w:r>
      <w:r>
        <w:rPr>
          <w:rStyle w:val="CharStyle24"/>
          <w:lang w:val="en-US" w:eastAsia="en-US"/>
        </w:rPr>
        <w:t xml:space="preserve">B9 </w:t>
      </w:r>
      <w:r>
        <w:rPr>
          <w:rStyle w:val="CharStyle24"/>
        </w:rPr>
        <w:t xml:space="preserve">(фолацин) </w:t>
      </w:r>
      <w:r>
        <w:rPr>
          <w:rStyle w:val="CharStyle24"/>
          <w:lang w:val="en-US" w:eastAsia="en-US"/>
        </w:rPr>
        <w:t xml:space="preserve">&gt; 0.25 </w:t>
      </w:r>
      <w:r>
        <w:rPr>
          <w:rStyle w:val="CharStyle24"/>
        </w:rPr>
        <w:t xml:space="preserve">мг; Содержание витамина С </w:t>
      </w:r>
      <w:r>
        <w:rPr>
          <w:rStyle w:val="CharStyle24"/>
          <w:lang w:val="en-US" w:eastAsia="en-US"/>
        </w:rPr>
        <w:t xml:space="preserve">&gt; 90 </w:t>
      </w:r>
      <w:r>
        <w:rPr>
          <w:rStyle w:val="CharStyle24"/>
        </w:rPr>
        <w:t xml:space="preserve">мг; Содержание витамина ДЗ </w:t>
      </w:r>
      <w:r>
        <w:rPr>
          <w:rStyle w:val="CharStyle24"/>
          <w:lang w:val="en-US" w:eastAsia="en-US"/>
        </w:rPr>
        <w:t xml:space="preserve">≥7.7 </w:t>
      </w:r>
      <w:r>
        <w:rPr>
          <w:rStyle w:val="CharStyle24"/>
        </w:rPr>
        <w:t xml:space="preserve">мг; Количество видов витаминов в витаминном комплексе </w:t>
      </w:r>
      <w:r>
        <w:rPr>
          <w:rStyle w:val="CharStyle24"/>
          <w:lang w:val="en-US" w:eastAsia="en-US"/>
        </w:rPr>
        <w:t xml:space="preserve">≥ 12 </w:t>
      </w:r>
      <w:r>
        <w:rPr>
          <w:rStyle w:val="CharStyle24"/>
        </w:rPr>
        <w:t xml:space="preserve">и </w:t>
      </w:r>
      <w:r>
        <w:rPr>
          <w:rStyle w:val="CharStyle24"/>
          <w:lang w:val="en-US" w:eastAsia="en-US"/>
        </w:rPr>
        <w:t>≤ 13).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Вместе с тем, п.2. ст. </w:t>
      </w:r>
      <w:r>
        <w:rPr>
          <w:rStyle w:val="CharStyle24"/>
          <w:lang w:val="en-US" w:eastAsia="en-US"/>
        </w:rPr>
        <w:t xml:space="preserve">456 </w:t>
      </w:r>
      <w:r>
        <w:rPr>
          <w:rStyle w:val="CharStyle24"/>
        </w:rPr>
        <w:t xml:space="preserve">ГК РФ говорит, что если иное не предусмотрено договором купли продажи, продавец обязан </w:t>
      </w:r>
      <w:r>
        <w:rPr>
          <w:rStyle w:val="CharStyle24"/>
          <w:b/>
          <w:bCs/>
        </w:rPr>
        <w:t xml:space="preserve">одновременно </w:t>
      </w:r>
      <w:r>
        <w:rPr>
          <w:rStyle w:val="CharStyle24"/>
        </w:rPr>
        <w:t>с передачей вещи передать покупателю ее принадлежности, а также относящиеся к ней документы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4"/>
        </w:rPr>
        <w:t>(</w:t>
      </w:r>
      <w:r>
        <w:rPr>
          <w:rStyle w:val="CharStyle24"/>
          <w:b/>
          <w:bCs/>
        </w:rPr>
        <w:t>технический паспорт</w:t>
      </w:r>
      <w:r>
        <w:rPr>
          <w:rStyle w:val="CharStyle24"/>
        </w:rPr>
        <w:t xml:space="preserve">, сертификат качества, </w:t>
      </w:r>
      <w:r>
        <w:rPr>
          <w:rStyle w:val="CharStyle24"/>
          <w:b/>
          <w:bCs/>
        </w:rPr>
        <w:t xml:space="preserve">инструкцию по эксплуатации </w:t>
      </w:r>
      <w:r>
        <w:rPr>
          <w:rStyle w:val="CharStyle24"/>
        </w:rPr>
        <w:t>и т.п.), предусмотренные законом, иными правовыми актами или договором.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По мнению ФАС России (ПИСЬМО от </w:t>
      </w:r>
      <w:r>
        <w:rPr>
          <w:rStyle w:val="CharStyle24"/>
          <w:lang w:val="en-US" w:eastAsia="en-US"/>
        </w:rPr>
        <w:t xml:space="preserve">30 </w:t>
      </w:r>
      <w:r>
        <w:rPr>
          <w:rStyle w:val="CharStyle24"/>
        </w:rPr>
        <w:t xml:space="preserve">сентября </w:t>
      </w:r>
      <w:r>
        <w:rPr>
          <w:rStyle w:val="CharStyle24"/>
          <w:lang w:val="en-US" w:eastAsia="en-US"/>
        </w:rPr>
        <w:t xml:space="preserve">2019 </w:t>
      </w:r>
      <w:r>
        <w:rPr>
          <w:rStyle w:val="CharStyle24"/>
        </w:rPr>
        <w:t xml:space="preserve">г. </w:t>
      </w:r>
      <w:r>
        <w:rPr>
          <w:rStyle w:val="CharStyle24"/>
          <w:lang w:val="en-US" w:eastAsia="en-US"/>
        </w:rPr>
        <w:t xml:space="preserve">N </w:t>
      </w:r>
      <w:r>
        <w:rPr>
          <w:rStyle w:val="CharStyle24"/>
        </w:rPr>
        <w:t>АК/84863/19), не допускается требовать в составе второй части заявки документы, если такие документы выдаются исключительно на партию товара.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>Свидетельство о государственной регистрации не относится к товаросопроводительным документам, передаваемым вместе с конкретной партией товара. А выдается на Товар единовременно при регистрации продукта в качестве специализированного пищевого продукта при его первичном вводе в гражданский оборот.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Минфин России также придерживается мнения, что, если в силу законодательства РФ к отдельным видам продукции (товаров) установлены определенные требования, в том числе касающиеся регистрации такой продукции (товаров), заказчик устанавливает в извещении об осуществлении закупки соответствующие требования, в том числе к представлению документов (сведений), подтверждающих указанные требования. (ПИСЬМО от </w:t>
      </w:r>
      <w:r>
        <w:rPr>
          <w:rStyle w:val="CharStyle24"/>
          <w:lang w:val="en-US" w:eastAsia="en-US"/>
        </w:rPr>
        <w:t xml:space="preserve">6 </w:t>
      </w:r>
      <w:r>
        <w:rPr>
          <w:rStyle w:val="CharStyle24"/>
        </w:rPr>
        <w:t xml:space="preserve">октября </w:t>
      </w:r>
      <w:r>
        <w:rPr>
          <w:rStyle w:val="CharStyle24"/>
          <w:lang w:val="en-US" w:eastAsia="en-US"/>
        </w:rPr>
        <w:t xml:space="preserve">2022 </w:t>
      </w:r>
      <w:r>
        <w:rPr>
          <w:rStyle w:val="CharStyle24"/>
        </w:rPr>
        <w:t xml:space="preserve">г. </w:t>
      </w:r>
      <w:r>
        <w:rPr>
          <w:rStyle w:val="CharStyle24"/>
          <w:lang w:val="en-US" w:eastAsia="en-US"/>
        </w:rPr>
        <w:t>N 24-06</w:t>
        <w:softHyphen/>
        <w:t>06/96640).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>Вместе с тем, экспертная оценка проводится с целью государственной регистрации продукции на основании заявки производителя и экспертное заключение, выданное по итогам данной оценки является основанием для государственной регистрации продукции и выдачи свидетельства о государственной регистрации продукции.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Заявителем представлено письмо ООО ПК Спецпродукт, согласно которому на запрос заявителя </w:t>
      </w:r>
      <w:r>
        <w:rPr>
          <w:rStyle w:val="CharStyle24"/>
          <w:b/>
          <w:bCs/>
        </w:rPr>
        <w:t xml:space="preserve">о предоставлении экспертного заключения </w:t>
      </w:r>
      <w:r>
        <w:rPr>
          <w:rStyle w:val="CharStyle24"/>
        </w:rPr>
        <w:t xml:space="preserve">на выпускаемую продукцию, </w:t>
      </w:r>
      <w:r>
        <w:rPr>
          <w:rStyle w:val="CharStyle24"/>
          <w:b/>
          <w:bCs/>
        </w:rPr>
        <w:t xml:space="preserve">отказано </w:t>
      </w:r>
      <w:r>
        <w:rPr>
          <w:rStyle w:val="CharStyle24"/>
        </w:rPr>
        <w:t xml:space="preserve">в предоставлении данного документа. Экспертное заключение является необязательной формой подтверждения соответствия товара единым санитарно-эпидемиологическим и гигиеническим требованиям, не является документом, поставляемым вместе с товаром и не предназначен для передачи третьим лицам. Кроме того, экспертное заключение </w:t>
      </w:r>
      <w:r>
        <w:rPr>
          <w:rStyle w:val="CharStyle24"/>
          <w:b/>
          <w:bCs/>
        </w:rPr>
        <w:t xml:space="preserve">содержит коммерческую тайну </w:t>
      </w:r>
      <w:r>
        <w:rPr>
          <w:rStyle w:val="CharStyle24"/>
        </w:rPr>
        <w:t xml:space="preserve">предприятия-изготовителя в части рецептуры и способов изготовления выпускаемой продукции, которые являются интеллектуальной собственностью производителя. В пакет документов отгружаемой продукции входит: СГР, качественное удостоверении на каждую партию. По индивидуальному запросу для подтверждения качества </w:t>
      </w:r>
      <w:r>
        <w:rPr>
          <w:rStyle w:val="CharStyle24"/>
          <w:b/>
          <w:bCs/>
        </w:rPr>
        <w:t xml:space="preserve">предоставляются протоколы лабораторных испытаний. </w:t>
      </w:r>
      <w:r>
        <w:rPr>
          <w:rStyle w:val="CharStyle24"/>
        </w:rPr>
        <w:t xml:space="preserve">Информация о СГР содержится в едином реестре. СГР является документом, подтверждающим соответствие выпускаемой продукции техническим регламентам, а </w:t>
      </w:r>
      <w:r>
        <w:rPr>
          <w:rStyle w:val="CharStyle24"/>
          <w:b/>
          <w:bCs/>
        </w:rPr>
        <w:t>информация о составе продукта, энергетической ценности, концентрации витаминов в порции внесена на упаковку поставляемого товара.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>Таким образом, Иркутское УФАС приходит к выводу об установлении заказчиком излишнего требования по предоставлению в составе заявки экспертного заключения.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24"/>
        </w:rPr>
        <w:t xml:space="preserve">Относительно довода заказчика о том, что ст. </w:t>
      </w:r>
      <w:r>
        <w:rPr>
          <w:rStyle w:val="CharStyle24"/>
          <w:lang w:val="en-US" w:eastAsia="en-US"/>
        </w:rPr>
        <w:t xml:space="preserve">33 </w:t>
      </w:r>
      <w:r>
        <w:rPr>
          <w:rStyle w:val="CharStyle24"/>
        </w:rPr>
        <w:t xml:space="preserve">Федерального закона </w:t>
      </w:r>
      <w:r>
        <w:rPr>
          <w:rStyle w:val="CharStyle24"/>
          <w:lang w:val="en-US" w:eastAsia="en-US"/>
        </w:rPr>
        <w:t xml:space="preserve">№ </w:t>
      </w:r>
      <w:r>
        <w:rPr>
          <w:rStyle w:val="CharStyle24"/>
        </w:rPr>
        <w:t xml:space="preserve">44-ФЗ предусмотрено описание объекта закупки </w:t>
      </w:r>
      <w:r>
        <w:rPr>
          <w:rStyle w:val="CharStyle24"/>
          <w:b/>
          <w:bCs/>
        </w:rPr>
        <w:t xml:space="preserve">может включать </w:t>
      </w:r>
      <w:r>
        <w:rPr>
          <w:rStyle w:val="CharStyle24"/>
        </w:rPr>
        <w:t>в себя спецификации, планы, чертежи, эскизы, фотографии, результаты работы, тестирования,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4"/>
          <w:b/>
          <w:bCs/>
        </w:rPr>
        <w:t>требования</w:t>
      </w:r>
      <w:r>
        <w:rPr>
          <w:rStyle w:val="CharStyle24"/>
        </w:rPr>
        <w:t xml:space="preserve">, в том числе в отношении </w:t>
      </w:r>
      <w:r>
        <w:rPr>
          <w:rStyle w:val="CharStyle24"/>
          <w:b/>
          <w:bCs/>
        </w:rPr>
        <w:t>проведения испытаний</w:t>
      </w:r>
      <w:r>
        <w:rPr>
          <w:rStyle w:val="CharStyle24"/>
        </w:rPr>
        <w:t>, методов испытаний, Иркутское УФАС России отмечает следующее.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Согласно извещению о проведении спорной закупки и приложениям к нему, указанного требования в описании объекта закупки не содержится. Кроме того, в случае установления заказчиком такового требования, участникам закупки необходимо было бы представить </w:t>
      </w:r>
      <w:r>
        <w:rPr>
          <w:rStyle w:val="CharStyle24"/>
          <w:b/>
          <w:bCs/>
        </w:rPr>
        <w:t xml:space="preserve">протоколы лабораторных испытаний в составе заявки, </w:t>
      </w:r>
      <w:r>
        <w:rPr>
          <w:rStyle w:val="CharStyle24"/>
        </w:rPr>
        <w:t>которые производитель продукции готов предоставить по отдельному запросу. Экспертное же заключение является иным документов, изготовленным для иных целей, содержащий помимо испытаний иные сведения и выданный в рамках иной правовой процедуры.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>Таким образом, обжалуемое требование о предоставлении в составе заявки экспертного заключения является неправомерным и ограничивает количество участников, поскольку указанный документ имеется в распоряжении лишь производителей.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24"/>
        </w:rPr>
        <w:t>Следовательно, выявленные нарушения, допущенные Заказчиком, повлекли неправильное рассмотрение комиссией по осуществлению закупок поступивших от участников заявок. Учитывая значимость указанных нарушений, комиссия управления сочла целесообразным направить Заказчику предписание с целью устранения выявленных нарушений.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24"/>
        </w:rPr>
        <w:t xml:space="preserve">Руководствуясь статьей </w:t>
      </w:r>
      <w:r>
        <w:rPr>
          <w:rStyle w:val="CharStyle24"/>
          <w:lang w:val="en-US" w:eastAsia="en-US"/>
        </w:rPr>
        <w:t xml:space="preserve">106 </w:t>
      </w:r>
      <w:r>
        <w:rPr>
          <w:rStyle w:val="CharStyle24"/>
        </w:rPr>
        <w:t xml:space="preserve">Федерального закона от </w:t>
      </w:r>
      <w:r>
        <w:rPr>
          <w:rStyle w:val="CharStyle24"/>
          <w:lang w:val="en-US" w:eastAsia="en-US"/>
        </w:rPr>
        <w:t xml:space="preserve">05.04.2013 № </w:t>
      </w:r>
      <w:r>
        <w:rPr>
          <w:rStyle w:val="CharStyle24"/>
        </w:rPr>
        <w:t>44-ФЗ «О контрактной системе в сфере закупок товаров, работ, услуг для обеспечения государственных и муниципальных нужд», Комиссия по контролю за соблюдением законодательства о контрактной системе в сфере закупок товаров, работ, услуг для обеспечения государственных и муниципальных нужд,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6"/>
      <w:r>
        <w:rPr>
          <w:rStyle w:val="CharStyle22"/>
        </w:rPr>
        <w:t>РЕШИЛА:</w:t>
      </w:r>
      <w:bookmarkEnd w:id="6"/>
    </w:p>
    <w:p>
      <w:pPr>
        <w:pStyle w:val="Style2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24"/>
        </w:rPr>
        <w:t>Признать жалобу ООО "Алтайпродукт" необоснованной.</w:t>
      </w:r>
    </w:p>
    <w:p>
      <w:pPr>
        <w:pStyle w:val="Style2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24"/>
        </w:rPr>
        <w:t xml:space="preserve">Признать заказчика нарушившим ч. </w:t>
      </w:r>
      <w:r>
        <w:rPr>
          <w:rStyle w:val="CharStyle24"/>
          <w:lang w:val="en-US" w:eastAsia="en-US"/>
        </w:rPr>
        <w:t xml:space="preserve">6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31, </w:t>
      </w:r>
      <w:r>
        <w:rPr>
          <w:rStyle w:val="CharStyle24"/>
        </w:rPr>
        <w:t xml:space="preserve">п. </w:t>
      </w:r>
      <w:r>
        <w:rPr>
          <w:rStyle w:val="CharStyle24"/>
          <w:lang w:val="en-US" w:eastAsia="en-US"/>
        </w:rPr>
        <w:t xml:space="preserve">3 </w:t>
      </w:r>
      <w:r>
        <w:rPr>
          <w:rStyle w:val="CharStyle24"/>
        </w:rPr>
        <w:t xml:space="preserve">ч. </w:t>
      </w:r>
      <w:r>
        <w:rPr>
          <w:rStyle w:val="CharStyle24"/>
          <w:lang w:val="en-US" w:eastAsia="en-US"/>
        </w:rPr>
        <w:t xml:space="preserve">2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42, </w:t>
      </w:r>
      <w:r>
        <w:rPr>
          <w:rStyle w:val="CharStyle24"/>
        </w:rPr>
        <w:t xml:space="preserve">пп. "в" п. </w:t>
      </w:r>
      <w:r>
        <w:rPr>
          <w:rStyle w:val="CharStyle24"/>
          <w:lang w:val="en-US" w:eastAsia="en-US"/>
        </w:rPr>
        <w:t xml:space="preserve">2 </w:t>
      </w:r>
      <w:r>
        <w:rPr>
          <w:rStyle w:val="CharStyle24"/>
        </w:rPr>
        <w:t>ч.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4"/>
          <w:lang w:val="en-US" w:eastAsia="en-US"/>
        </w:rPr>
        <w:t xml:space="preserve">1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43, </w:t>
      </w:r>
      <w:r>
        <w:rPr>
          <w:rStyle w:val="CharStyle24"/>
        </w:rPr>
        <w:t xml:space="preserve">ч. </w:t>
      </w:r>
      <w:r>
        <w:rPr>
          <w:rStyle w:val="CharStyle24"/>
          <w:lang w:val="en-US" w:eastAsia="en-US"/>
        </w:rPr>
        <w:t xml:space="preserve">3 </w:t>
      </w:r>
      <w:r>
        <w:rPr>
          <w:rStyle w:val="CharStyle24"/>
        </w:rPr>
        <w:t xml:space="preserve">ст. </w:t>
      </w:r>
      <w:r>
        <w:rPr>
          <w:rStyle w:val="CharStyle24"/>
          <w:lang w:val="en-US" w:eastAsia="en-US"/>
        </w:rPr>
        <w:t xml:space="preserve">43 </w:t>
      </w:r>
      <w:r>
        <w:rPr>
          <w:rStyle w:val="CharStyle24"/>
        </w:rPr>
        <w:t xml:space="preserve">Федерального закона </w:t>
      </w:r>
      <w:r>
        <w:rPr>
          <w:rStyle w:val="CharStyle24"/>
          <w:lang w:val="en-US" w:eastAsia="en-US"/>
        </w:rPr>
        <w:t>№44</w:t>
      </w:r>
    </w:p>
    <w:p>
      <w:pPr>
        <w:pStyle w:val="Style2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 xml:space="preserve">Выдать предписание об устранении допущенных нарушений путем отмены всех сформированных протоколов, внесении изменений в извещение согласно нормам Федерального закона </w:t>
      </w:r>
      <w:r>
        <w:rPr>
          <w:rStyle w:val="CharStyle24"/>
          <w:lang w:val="en-US" w:eastAsia="en-US"/>
        </w:rPr>
        <w:t xml:space="preserve">№44 </w:t>
      </w:r>
      <w:r>
        <w:rPr>
          <w:rStyle w:val="CharStyle24"/>
        </w:rPr>
        <w:t>и с учетом настоящего решения.;</w:t>
      </w:r>
    </w:p>
    <w:p>
      <w:pPr>
        <w:pStyle w:val="Style2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>Оператору электронной площадки обеспечить возможность исполнения выданного предписания;</w:t>
      </w:r>
    </w:p>
    <w:p>
      <w:pPr>
        <w:pStyle w:val="Style2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24"/>
        </w:rPr>
        <w:t>Направить копии решения и предписания сторонам по жалобе;</w:t>
      </w:r>
    </w:p>
    <w:p>
      <w:pPr>
        <w:pStyle w:val="Style2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280" w:line="240" w:lineRule="auto"/>
        <w:ind w:left="0" w:right="0" w:firstLine="580"/>
        <w:jc w:val="both"/>
      </w:pPr>
      <w:r>
        <w:rPr>
          <w:rStyle w:val="CharStyle24"/>
        </w:rPr>
        <w:t>Передать уполномоченному должностному лицу Иркутского УФАС России материалы по жалобе для рассмотрения вопроса о привлечении виновных должностных лиц к административной ответственности.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536" w:bottom="1294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Решение, принятое по результатам рассмотрения жалобы на действия (бездействие) заказчика, уполномоченного органа, специализированной организации, конкурсной, аукционной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или котировочной комиссии,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555" w:bottom="258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060450" cy="45720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00000000000003pt;margin-top:10.pt;width:83.5pt;height:36.pt;z-index:-125829375;mso-wrap-distance-left:0;mso-wrap-distance-top:10.pt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4790" distB="15240" distL="0" distR="1816735" simplePos="0" relativeHeight="125829380" behindDoc="0" locked="0" layoutInCell="1" allowOverlap="1">
            <wp:simplePos x="0" y="0"/>
            <wp:positionH relativeFrom="page">
              <wp:posOffset>2534285</wp:posOffset>
            </wp:positionH>
            <wp:positionV relativeFrom="paragraph">
              <wp:posOffset>224790</wp:posOffset>
            </wp:positionV>
            <wp:extent cx="298450" cy="34734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2924175</wp:posOffset>
                </wp:positionH>
                <wp:positionV relativeFrom="paragraph">
                  <wp:posOffset>285750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30.25pt;margin-top:22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1470" distB="0" distL="0" distR="0" simplePos="0" relativeHeight="125829381" behindDoc="0" locked="0" layoutInCell="1" allowOverlap="1">
                <wp:simplePos x="0" y="0"/>
                <wp:positionH relativeFrom="page">
                  <wp:posOffset>6286500</wp:posOffset>
                </wp:positionH>
                <wp:positionV relativeFrom="paragraph">
                  <wp:posOffset>331470</wp:posOffset>
                </wp:positionV>
                <wp:extent cx="89916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4"/>
                              </w:rPr>
                              <w:t>И.И. Ларин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5.pt;margin-top:26.100000000000001pt;width:70.799999999999997pt;height:19.900000000000002pt;z-index:-125829372;mso-wrap-distance-left:0;mso-wrap-distance-top:26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4"/>
                        </w:rPr>
                        <w:t>И.И. Ларин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580" w:right="0" w:firstLine="0"/>
        <w:jc w:val="left"/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Ларин Иван Игоревич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009F5F3E0AE6487170712C533F677D64DF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Действителен с 27.06.2025 </w:t>
      </w:r>
      <w:r>
        <w:rPr>
          <w:rStyle w:val="CharStyle34"/>
          <w:color w:val="5D5D5D"/>
        </w:rPr>
        <w:t xml:space="preserve">по </w:t>
      </w:r>
      <w:r>
        <w:rPr>
          <w:rStyle w:val="CharStyle34"/>
        </w:rPr>
        <w:t>20.09.2026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5" w:bottom="258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165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292225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rStyle w:val="CharStyle22"/>
                              </w:rPr>
                              <w:t>Члены комиссии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7.pt;width:101.75pt;height:19.900000000000002pt;z-index:-125829370;mso-wrap-distance-left:0;mso-wrap-distance-top:7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rStyle w:val="CharStyle22"/>
                        </w:rPr>
                        <w:t>Члены комиссии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5100" distB="0" distL="0" distR="1786255" simplePos="0" relativeHeight="125829385" behindDoc="0" locked="0" layoutInCell="1" allowOverlap="1">
            <wp:simplePos x="0" y="0"/>
            <wp:positionH relativeFrom="page">
              <wp:posOffset>2503805</wp:posOffset>
            </wp:positionH>
            <wp:positionV relativeFrom="paragraph">
              <wp:posOffset>165100</wp:posOffset>
            </wp:positionV>
            <wp:extent cx="359410" cy="39624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2924175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0.25pt;margin-top:19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16535" distL="0" distR="0" simplePos="0" relativeHeight="125829386" behindDoc="0" locked="0" layoutInCell="1" allowOverlap="1">
                <wp:simplePos x="0" y="0"/>
                <wp:positionH relativeFrom="page">
                  <wp:posOffset>5850255</wp:posOffset>
                </wp:positionH>
                <wp:positionV relativeFrom="paragraph">
                  <wp:posOffset>88900</wp:posOffset>
                </wp:positionV>
                <wp:extent cx="133477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О.В. Караульская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0.65000000000003pt;margin-top:7.pt;width:105.10000000000001pt;height:19.900000000000002pt;z-index:-125829367;mso-wrap-distance-left:0;mso-wrap-distance-top:7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О.В. Караульская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Караульская Олеся Владимировна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3897E21644B61C8D064A868B033D88F1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34"/>
        </w:rPr>
        <w:t xml:space="preserve">Действителен с 04.12.2024 </w:t>
      </w:r>
      <w:r>
        <w:rPr>
          <w:rStyle w:val="CharStyle34"/>
          <w:color w:val="5D5D5D"/>
        </w:rPr>
        <w:t xml:space="preserve">по </w:t>
      </w:r>
      <w:r>
        <w:rPr>
          <w:rStyle w:val="CharStyle34"/>
        </w:rPr>
        <w:t>27.02.2026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2470150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2964180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33.40000000000001pt;margin-top:36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2924175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30.25pt;margin-top:11.6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rStyle w:val="CharStyle22"/>
        </w:rPr>
        <w:t>В.А. Бардаханов</w:t>
      </w:r>
      <w:bookmarkEnd w:id="10"/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Бардаханов Виктор Андреевич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00EB69B33F25A948FC2FE1E0B250FAEC9</w:t>
      </w:r>
      <w:r>
        <w:rPr>
          <w:rStyle w:val="CharStyle34"/>
          <w:lang w:val="en-US" w:eastAsia="en-US"/>
        </w:rPr>
        <w:t>B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6580" w:line="240" w:lineRule="auto"/>
        <w:ind w:right="0" w:firstLine="0"/>
        <w:jc w:val="left"/>
      </w:pPr>
      <w:r>
        <w:rPr>
          <w:rStyle w:val="CharStyle34"/>
        </w:rPr>
        <w:t xml:space="preserve">Действителен с 22.08.2025 </w:t>
      </w:r>
      <w:r>
        <w:rPr>
          <w:rStyle w:val="CharStyle34"/>
          <w:color w:val="5D5D5D"/>
        </w:rPr>
        <w:t>по 1</w:t>
      </w:r>
      <w:r>
        <w:rPr>
          <w:rStyle w:val="CharStyle34"/>
        </w:rPr>
        <w:t>5.1</w:t>
      </w:r>
      <w:r>
        <w:rPr>
          <w:rStyle w:val="CharStyle34"/>
          <w:color w:val="292929"/>
        </w:rPr>
        <w:t>1</w:t>
      </w:r>
      <w:r>
        <w:rPr>
          <w:rStyle w:val="CharStyle34"/>
        </w:rPr>
        <w:t>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2"/>
          <w:sz w:val="22"/>
          <w:szCs w:val="22"/>
        </w:rPr>
        <w:t>Исп.Караульская О.В.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2"/>
          <w:sz w:val="22"/>
          <w:szCs w:val="22"/>
        </w:rPr>
        <w:t>тел.8 (3952) 24-32-31 вн. 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5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812165</wp:posOffset>
              </wp:positionH>
              <wp:positionV relativeFrom="page">
                <wp:posOffset>10092690</wp:posOffset>
              </wp:positionV>
              <wp:extent cx="69786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786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2025-10270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3.950000000000003pt;margin-top:794.70000000000005pt;width:54.950000000000003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2025-10270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Heading #2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Body text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0">
    <w:name w:val="Picture caption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2">
    <w:name w:val="Body text (5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4">
    <w:name w:val="Body text (3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4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1">
    <w:name w:val="Body text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Heading #2"/>
    <w:basedOn w:val="Normal"/>
    <w:link w:val="CharStyle22"/>
    <w:pPr>
      <w:widowControl w:val="0"/>
      <w:shd w:val="clear" w:color="auto" w:fill="auto"/>
      <w:spacing w:after="28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Style23">
    <w:name w:val="Body text"/>
    <w:basedOn w:val="Normal"/>
    <w:link w:val="CharStyle2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9">
    <w:name w:val="Picture caption"/>
    <w:basedOn w:val="Normal"/>
    <w:link w:val="CharStyle3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1">
    <w:name w:val="Body text (5)"/>
    <w:basedOn w:val="Normal"/>
    <w:link w:val="CharStyle32"/>
    <w:pPr>
      <w:widowControl w:val="0"/>
      <w:shd w:val="clear" w:color="auto" w:fill="auto"/>
      <w:spacing w:after="100"/>
      <w:ind w:left="179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3">
    <w:name w:val="Body text (3)"/>
    <w:basedOn w:val="Normal"/>
    <w:link w:val="CharStyle34"/>
    <w:pPr>
      <w:widowControl w:val="0"/>
      <w:shd w:val="clear" w:color="auto" w:fill="auto"/>
      <w:ind w:left="28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